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260"/>
      </w:pPr>
      <w:r>
        <w:t xml:space="preserve">Commercial motor vehicle applicability determination</w:t>
      </w:r>
    </w:p>
    <w:p>
      <w:pPr>
        <w:spacing w:after="140"/>
      </w:pPr>
      <w:r>
        <w:t xml:space="preserve">Agency: </w:t>
      </w:r>
      <w:r>
        <w:rPr>
          <w:b/>
          <w:bCs/>
          <w:color w:val="B4531A"/>
        </w:rPr>
        <w:t xml:space="preserve">[AGENCY NAME]</w:t>
      </w:r>
    </w:p>
    <w:p>
      <w:pPr>
        <w:spacing w:after="140"/>
      </w:pPr>
      <w:r>
        <w:t xml:space="preserve">Record number: </w:t>
      </w:r>
      <w:r>
        <w:rPr>
          <w:b/>
          <w:bCs/>
          <w:color w:val="B4531A"/>
        </w:rPr>
        <w:t xml:space="preserve">[RECORD NO.]</w:t>
      </w:r>
      <w:r>
        <w:t xml:space="preserve">     Determination date: </w:t>
      </w:r>
      <w:r>
        <w:rPr>
          <w:b/>
          <w:bCs/>
          <w:color w:val="B4531A"/>
        </w:rPr>
        <w:t xml:space="preserve">[DATE]</w:t>
      </w:r>
      <w:r>
        <w:t xml:space="preserve">     Supersedes: </w:t>
      </w:r>
      <w:r>
        <w:rPr>
          <w:b/>
          <w:bCs/>
          <w:color w:val="B4531A"/>
        </w:rPr>
        <w:t xml:space="preserve">[PRIOR RECORD / NONE]</w:t>
      </w:r>
    </w:p>
    <w:tbl>
      <w:tblPr>
        <w:tblW w:type="pct" w:w="100%"/>
        <w:tblBorders>
          <w:top w:val="single" w:color="B4531A" w:sz="6"/>
          <w:left w:val="single" w:color="B4531A" w:sz="6"/>
          <w:bottom w:val="single" w:color="B4531A" w:sz="6"/>
          <w:right w:val="single" w:color="B4531A" w:sz="6"/>
          <w:insideH w:val="none" w:color="FFFFFF" w:sz="0"/>
          <w:insideV w:val="none" w:color="FFFFFF" w:sz="0"/>
        </w:tblBorders>
      </w:tblPr>
      <w:tblGrid>
        <w:gridCol w:w="100"/>
      </w:tblGrid>
      <w:tr>
        <w:tc>
          <w:tcPr>
            <w:shd w:fill="FDF6EC" w:color="FDF6EC" w:val="solid"/>
            <w:tcMar>
              <w:top w:type="dxa" w:w="120"/>
              <w:left w:type="dxa" w:w="160"/>
              <w:bottom w:type="dxa" w:w="120"/>
              <w:right w:type="dxa" w:w="160"/>
            </w:tcMar>
          </w:tcPr>
          <w:p>
            <w:pPr>
              <w:spacing w:after="80"/>
            </w:pPr>
            <w:r>
              <w:rPr>
                <w:b/>
                <w:bCs/>
                <w:sz w:val="18"/>
                <w:szCs w:val="18"/>
              </w:rPr>
              <w:t xml:space="preserve">Delete this box before circulating.</w:t>
            </w:r>
          </w:p>
          <w:p>
            <w:pPr>
              <w:spacing w:after="50"/>
            </w:pPr>
            <w:r>
              <w:rPr>
                <w:sz w:val="18"/>
                <w:szCs w:val="18"/>
              </w:rPr>
              <w:t xml:space="preserve">This is orientation, not legal advice. It summarises federal definitions. It does not cover state rules, and several states impose intrastate requirements at lower thresholds than the federal ones. Verify against the regulations cited on the last page and your state agency.</w:t>
            </w:r>
          </w:p>
          <w:p>
            <w:pPr>
              <w:spacing w:after="50"/>
            </w:pPr>
            <w:r>
              <w:rPr>
                <w:sz w:val="18"/>
                <w:szCs w:val="18"/>
              </w:rPr>
              <w:t xml:space="preserve">Complete one record per vehicle, or per group of vehicles that are genuinely identical in rating, use and operating pattern. A group record that averages two different trucks is worth nothing.</w:t>
            </w:r>
          </w:p>
          <w:p>
            <w:pPr>
              <w:spacing w:after="50"/>
            </w:pPr>
            <w:r>
              <w:rPr>
                <w:sz w:val="18"/>
                <w:szCs w:val="18"/>
              </w:rPr>
              <w:t xml:space="preserve">Re-do the determination whenever the fleet changes: a new trailer, a heavier upfit, a new route, or a load that now requires placards can change the answer on the day it happens.</w:t>
            </w:r>
          </w:p>
          <w:p>
            <w:pPr>
              <w:spacing w:after="50"/>
            </w:pPr>
            <w:r>
              <w:rPr>
                <w:sz w:val="18"/>
                <w:szCs w:val="18"/>
              </w:rPr>
              <w:t xml:space="preserve">Keep the completed record with the vehicle file. The point of writing it down is being able to show an auditor how you reached the answer, not just what the answer was.</w:t>
            </w:r>
          </w:p>
        </w:tc>
      </w:tr>
    </w:tbl>
    <w:p>
      <w:pPr>
        <w:pStyle w:val="Heading2"/>
        <w:spacing w:after="120" w:before="260"/>
      </w:pPr>
      <w:r>
        <w:t xml:space="preserve">1. Vehicle or group identified</w:t>
      </w:r>
    </w:p>
    <w:p>
      <w:pPr>
        <w:spacing w:after="140"/>
      </w:pPr>
      <w:r>
        <w:t xml:space="preserve">Ratings come from the manufacturer’s certification plate, not from a scale ticket and not from the sales brochure.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EDF2F5" w:color="EDF2F5" w:val="solid"/>
            <w:tcMar>
              <w:top w:type="dxa" w:w="80"/>
              <w:left w:type="dxa" w:w="120"/>
              <w:bottom w:type="dxa" w:w="80"/>
              <w:right w:type="dxa" w:w="120"/>
            </w:tcMar>
          </w:tcPr>
          <w:p>
            <w:r>
              <w:rPr>
                <w:b/>
                <w:bCs/>
                <w:sz w:val="20"/>
                <w:szCs w:val="20"/>
              </w:rPr>
              <w:t xml:space="preserve">Item</w:t>
            </w:r>
          </w:p>
        </w:tc>
        <w:tc>
          <w:tcPr>
            <w:shd w:fill="EDF2F5" w:color="EDF2F5" w:val="solid"/>
            <w:tcMar>
              <w:top w:type="dxa" w:w="80"/>
              <w:left w:type="dxa" w:w="120"/>
              <w:bottom w:type="dxa" w:w="80"/>
              <w:right w:type="dxa" w:w="120"/>
            </w:tcMar>
          </w:tcPr>
          <w:p>
            <w:r>
              <w:rPr>
                <w:b/>
                <w:bCs/>
                <w:sz w:val="20"/>
                <w:szCs w:val="20"/>
              </w:rPr>
              <w:t xml:space="preserve">Entry</w:t>
            </w:r>
          </w:p>
        </w:tc>
      </w:tr>
      <w:tr>
        <w:trPr>
          <w:tblHeader w:val="false"/>
        </w:trPr>
        <w:tc>
          <w:tcPr>
            <w:tcMar>
              <w:top w:type="dxa" w:w="80"/>
              <w:left w:type="dxa" w:w="120"/>
              <w:bottom w:type="dxa" w:w="80"/>
              <w:right w:type="dxa" w:w="120"/>
            </w:tcMar>
          </w:tcPr>
          <w:p>
            <w:r>
              <w:rPr>
                <w:b w:val="false"/>
                <w:bCs w:val="false"/>
                <w:sz w:val="20"/>
                <w:szCs w:val="20"/>
              </w:rPr>
              <w:t xml:space="preserve">Unit number(s) or group name</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Year / make / model</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GVWR from the plate (lb)</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GCWR from the plate (lb)</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Trailer(s) routinely towed — description and GVWR (lb)</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Highest combined rating in routine use (lb)</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Designed passenger capacity, including the driver</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Passengers carried for compensation? (Y/N)</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Hazardous materials carried — description and quantity</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Load requires placards? (Y/N)</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Assigned department and primary use</w:t>
            </w:r>
          </w:p>
        </w:tc>
        <w:tc>
          <w:tcPr>
            <w:tcMar>
              <w:top w:type="dxa" w:w="80"/>
              <w:left w:type="dxa" w:w="120"/>
              <w:bottom w:type="dxa" w:w="80"/>
              <w:right w:type="dxa" w:w="120"/>
            </w:tcMar>
          </w:tcPr>
          <w:p/>
        </w:tc>
      </w:tr>
    </w:tbl>
    <w:p>
      <w:pPr>
        <w:pStyle w:val="Heading2"/>
        <w:spacing w:after="120" w:before="260"/>
      </w:pPr>
      <w:r>
        <w:t xml:space="preserve">2. Threshold test</w:t>
      </w:r>
    </w:p>
    <w:p>
      <w:pPr>
        <w:spacing w:after="140"/>
      </w:pPr>
      <w:r>
        <w:t xml:space="preserve">A vehicle used on a highway in interstate commerce is a commercial motor vehicle if it meets ANY ONE of the following. These are independent tests. Check every box that applies.</w:t>
      </w:r>
    </w:p>
    <w:p>
      <w:pPr>
        <w:spacing w:after="110"/>
        <w:ind w:left="200"/>
      </w:pPr>
      <w:r>
        <w:rPr>
          <w:rFonts w:ascii="Segoe UI Symbol" w:cs="Segoe UI Symbol" w:eastAsia="Segoe UI Symbol" w:hAnsi="Segoe UI Symbol"/>
          <w:sz w:val="24"/>
          <w:szCs w:val="24"/>
        </w:rPr>
        <w:t xml:space="preserve">☐</w:t>
      </w:r>
      <w:r>
        <w:rPr>
          <w:sz w:val="20"/>
          <w:szCs w:val="20"/>
        </w:rPr>
        <w:t xml:space="preserve">  Weight rating — GVWR or GCWR — whichever is greater — of 10,001 lb or more. The rating on the manufacturer's plate, not the weight on the day. If it tows, use the combined rating.</w:t>
      </w:r>
      <w:r>
        <w:rPr>
          <w:color w:val="6B7280"/>
          <w:sz w:val="18"/>
          <w:szCs w:val="18"/>
        </w:rPr>
        <w:t xml:space="preserve">  (49 CFR 390.5)</w:t>
      </w:r>
    </w:p>
    <w:p>
      <w:pPr>
        <w:spacing w:after="110"/>
        <w:ind w:left="200"/>
      </w:pPr>
      <w:r>
        <w:rPr>
          <w:rFonts w:ascii="Segoe UI Symbol" w:cs="Segoe UI Symbol" w:eastAsia="Segoe UI Symbol" w:hAnsi="Segoe UI Symbol"/>
          <w:sz w:val="24"/>
          <w:szCs w:val="24"/>
        </w:rPr>
        <w:t xml:space="preserve">☐</w:t>
      </w:r>
      <w:r>
        <w:rPr>
          <w:sz w:val="20"/>
          <w:szCs w:val="20"/>
        </w:rPr>
        <w:t xml:space="preserve">  Passengers, for compensation — Designed or used to transport more than 8 passengers, including the driver, for compensation.</w:t>
      </w:r>
      <w:r>
        <w:rPr>
          <w:color w:val="6B7280"/>
          <w:sz w:val="18"/>
          <w:szCs w:val="18"/>
        </w:rPr>
        <w:t xml:space="preserve">  (49 CFR 390.5)</w:t>
      </w:r>
    </w:p>
    <w:p>
      <w:pPr>
        <w:spacing w:after="110"/>
        <w:ind w:left="200"/>
      </w:pPr>
      <w:r>
        <w:rPr>
          <w:rFonts w:ascii="Segoe UI Symbol" w:cs="Segoe UI Symbol" w:eastAsia="Segoe UI Symbol" w:hAnsi="Segoe UI Symbol"/>
          <w:sz w:val="24"/>
          <w:szCs w:val="24"/>
        </w:rPr>
        <w:t xml:space="preserve">☐</w:t>
      </w:r>
      <w:r>
        <w:rPr>
          <w:sz w:val="20"/>
          <w:szCs w:val="20"/>
        </w:rPr>
        <w:t xml:space="preserve">  Passengers, not for compensation — Designed or used to transport more than 15 passengers, including the driver, not for compensation.</w:t>
      </w:r>
      <w:r>
        <w:rPr>
          <w:color w:val="6B7280"/>
          <w:sz w:val="18"/>
          <w:szCs w:val="18"/>
        </w:rPr>
        <w:t xml:space="preserve">  (49 CFR 390.5)</w:t>
      </w:r>
    </w:p>
    <w:p>
      <w:pPr>
        <w:spacing w:after="110"/>
        <w:ind w:left="200"/>
      </w:pPr>
      <w:r>
        <w:rPr>
          <w:rFonts w:ascii="Segoe UI Symbol" w:cs="Segoe UI Symbol" w:eastAsia="Segoe UI Symbol" w:hAnsi="Segoe UI Symbol"/>
          <w:sz w:val="24"/>
          <w:szCs w:val="24"/>
        </w:rPr>
        <w:t xml:space="preserve">☐</w:t>
      </w:r>
      <w:r>
        <w:rPr>
          <w:sz w:val="20"/>
          <w:szCs w:val="20"/>
        </w:rPr>
        <w:t xml:space="preserve">  Placarded hazmat — Used to transport hazardous materials in a quantity requiring placards.</w:t>
      </w:r>
      <w:r>
        <w:rPr>
          <w:color w:val="6B7280"/>
          <w:sz w:val="18"/>
          <w:szCs w:val="18"/>
        </w:rPr>
        <w:t xml:space="preserve">  (49 CFR 390.5)</w:t>
      </w:r>
    </w:p>
    <w:p>
      <w:pPr>
        <w:spacing w:after="120"/>
      </w:pPr>
      <w:r>
        <w:rPr>
          <w:i/>
          <w:iCs/>
          <w:sz w:val="20"/>
          <w:szCs w:val="20"/>
        </w:rPr>
        <w:t xml:space="preserve">No box checked: the vehicle is not a commercial motor vehicle under 49 CFR 390.5, whatever the answer in section 3.</w:t>
      </w:r>
    </w:p>
    <w:p>
      <w:pPr>
        <w:pStyle w:val="Heading2"/>
        <w:spacing w:after="120" w:before="260"/>
      </w:pPr>
      <w:r>
        <w:t xml:space="preserve">3. Interstate commerce determination</w:t>
      </w:r>
    </w:p>
    <w:p>
      <w:pPr>
        <w:spacing w:after="140"/>
      </w:pPr>
      <w:r>
        <w:t xml:space="preserve">“Interstate” does not mean the vehicle crosses a state line. It also covers carrying goods or passengers that are part of a journey continuing across a state line, even where this leg is entirely local.</w:t>
      </w:r>
    </w:p>
    <w:p>
      <w:pPr>
        <w:spacing w:after="140"/>
      </w:pPr>
      <w:r>
        <w:rPr>
          <w:i/>
          <w:iCs/>
        </w:rPr>
        <w:t xml:space="preserve">Answer all three. Check a box only where the answer is yes; an unchecked box is a recorded no, not an unanswered question. Any one yes puts the operation in interstate commerce.</w:t>
      </w:r>
    </w:p>
    <w:p>
      <w:pPr>
        <w:spacing w:after="110"/>
        <w:ind w:left="200"/>
      </w:pPr>
      <w:r>
        <w:rPr>
          <w:rFonts w:ascii="Segoe UI Symbol" w:cs="Segoe UI Symbol" w:eastAsia="Segoe UI Symbol" w:hAnsi="Segoe UI Symbol"/>
          <w:sz w:val="24"/>
          <w:szCs w:val="24"/>
        </w:rPr>
        <w:t xml:space="preserve">☐</w:t>
      </w:r>
      <w:r>
        <w:rPr>
          <w:sz w:val="20"/>
          <w:szCs w:val="20"/>
        </w:rPr>
        <w:t xml:space="preserve">  1. Does the vehicle itself cross a state line, at any frequency?</w:t>
      </w:r>
    </w:p>
    <w:p>
      <w:pPr>
        <w:spacing w:after="110"/>
        <w:ind w:left="200"/>
      </w:pPr>
      <w:r>
        <w:rPr>
          <w:rFonts w:ascii="Segoe UI Symbol" w:cs="Segoe UI Symbol" w:eastAsia="Segoe UI Symbol" w:hAnsi="Segoe UI Symbol"/>
          <w:sz w:val="24"/>
          <w:szCs w:val="24"/>
        </w:rPr>
        <w:t xml:space="preserve">☐</w:t>
      </w:r>
      <w:r>
        <w:rPr>
          <w:sz w:val="20"/>
          <w:szCs w:val="20"/>
        </w:rPr>
        <w:t xml:space="preserve">  2. Does it carry passengers or property between states, or to or from a point outside the state?</w:t>
      </w:r>
    </w:p>
    <w:p>
      <w:pPr>
        <w:spacing w:after="110"/>
        <w:ind w:left="200"/>
      </w:pPr>
      <w:r>
        <w:rPr>
          <w:rFonts w:ascii="Segoe UI Symbol" w:cs="Segoe UI Symbol" w:eastAsia="Segoe UI Symbol" w:hAnsi="Segoe UI Symbol"/>
          <w:sz w:val="24"/>
          <w:szCs w:val="24"/>
        </w:rPr>
        <w:t xml:space="preserve">☐</w:t>
      </w:r>
      <w:r>
        <w:rPr>
          <w:sz w:val="20"/>
          <w:szCs w:val="20"/>
        </w:rPr>
        <w:t xml:space="preserve">  3. Does any load originate from, or continue to, another state — even where this leg of the journey is entirely inside one state?</w:t>
      </w:r>
    </w:p>
    <w:p>
      <w:pPr>
        <w:spacing w:after="140"/>
      </w:pPr>
      <w:r>
        <w:rPr>
          <w:i/>
          <w:iCs/>
        </w:rPr>
        <w:t xml:space="preserve">Rationale — describe the actual movement of goods or passengers, including where loads originate and where they are ultimately going. This is the determination most likely to be challenged, so write it in sentences rather than a yes or no.</w:t>
      </w:r>
    </w:p>
    <w:p>
      <w:pPr>
        <w:pBdr>
          <w:bottom w:val="single" w:color="D0D7DC" w:sz="4"/>
        </w:pBdr>
        <w:spacing w:after="160" w:before="60"/>
      </w:pPr>
      <w:r>
        <w:rPr>
          <w:b/>
          <w:bCs/>
          <w:sz w:val="20"/>
          <w:szCs w:val="20"/>
        </w:rPr>
        <w:t xml:space="preserve">Rationale  </w:t>
      </w:r>
      <w:r>
        <w:t xml:space="preserve">                                                                      </w:t>
      </w:r>
    </w:p>
    <w:p>
      <w:pPr>
        <w:pBdr>
          <w:bottom w:val="single" w:color="D0D7DC" w:sz="4"/>
        </w:pBdr>
        <w:spacing w:after="160" w:before="60"/>
      </w:pPr>
      <w:r>
        <w:rPr>
          <w:b/>
          <w:bCs/>
          <w:sz w:val="20"/>
          <w:szCs w:val="20"/>
        </w:rPr>
        <w:t xml:space="preserve">  </w:t>
      </w:r>
      <w:r>
        <w:t xml:space="preserve">                                                                      </w:t>
      </w:r>
    </w:p>
    <w:p>
      <w:pPr>
        <w:pBdr>
          <w:bottom w:val="single" w:color="D0D7DC" w:sz="4"/>
        </w:pBdr>
        <w:spacing w:after="160" w:before="60"/>
      </w:pPr>
      <w:r>
        <w:rPr>
          <w:b/>
          <w:bCs/>
          <w:sz w:val="20"/>
          <w:szCs w:val="20"/>
        </w:rPr>
        <w:t xml:space="preserve">  </w:t>
      </w:r>
      <w:r>
        <w:t xml:space="preserve">                                                                      </w:t>
      </w:r>
    </w:p>
    <w:p>
      <w:pPr>
        <w:pStyle w:val="Heading2"/>
        <w:spacing w:after="120" w:before="260"/>
      </w:pPr>
      <w:r>
        <w:t xml:space="preserve">4. Result</w:t>
      </w:r>
    </w:p>
    <w:p>
      <w:pPr>
        <w:spacing w:after="110"/>
        <w:ind w:left="200"/>
      </w:pPr>
      <w:r>
        <w:rPr>
          <w:rFonts w:ascii="Segoe UI Symbol" w:cs="Segoe UI Symbol" w:eastAsia="Segoe UI Symbol" w:hAnsi="Segoe UI Symbol"/>
          <w:sz w:val="24"/>
          <w:szCs w:val="24"/>
        </w:rPr>
        <w:t xml:space="preserve">☐</w:t>
      </w:r>
      <w:r>
        <w:rPr>
          <w:sz w:val="20"/>
          <w:szCs w:val="20"/>
        </w:rPr>
        <w:t xml:space="preserve">  In scope federally — the federal motor carrier regulations apply.</w:t>
      </w:r>
    </w:p>
    <w:p>
      <w:pPr>
        <w:spacing w:after="110"/>
        <w:ind w:left="200"/>
      </w:pPr>
      <w:r>
        <w:rPr>
          <w:rFonts w:ascii="Segoe UI Symbol" w:cs="Segoe UI Symbol" w:eastAsia="Segoe UI Symbol" w:hAnsi="Segoe UI Symbol"/>
          <w:sz w:val="24"/>
          <w:szCs w:val="24"/>
        </w:rPr>
        <w:t xml:space="preserve">☐</w:t>
      </w:r>
      <w:r>
        <w:rPr>
          <w:sz w:val="20"/>
          <w:szCs w:val="20"/>
        </w:rPr>
        <w:t xml:space="preserve">  Not in scope federally — the vehicle fails the 390.5 threshold test, or operation is purely intrastate.</w:t>
      </w:r>
    </w:p>
    <w:p>
      <w:pPr>
        <w:spacing w:after="140"/>
      </w:pPr>
      <w:r>
        <w:t xml:space="preserve">Purely intrastate operation does not mean unregulated. Most states have adopted the federal rules for intrastate carriers with local modifications, often at lower weight thresholds and sometimes with an intrastate registration of their own.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EDF2F5" w:color="EDF2F5" w:val="solid"/>
            <w:tcMar>
              <w:top w:type="dxa" w:w="80"/>
              <w:left w:type="dxa" w:w="120"/>
              <w:bottom w:type="dxa" w:w="80"/>
              <w:right w:type="dxa" w:w="120"/>
            </w:tcMar>
          </w:tcPr>
          <w:p>
            <w:r>
              <w:rPr>
                <w:b/>
                <w:bCs/>
                <w:sz w:val="20"/>
                <w:szCs w:val="20"/>
              </w:rPr>
              <w:t xml:space="preserve">Item</w:t>
            </w:r>
          </w:p>
        </w:tc>
        <w:tc>
          <w:tcPr>
            <w:shd w:fill="EDF2F5" w:color="EDF2F5" w:val="solid"/>
            <w:tcMar>
              <w:top w:type="dxa" w:w="80"/>
              <w:left w:type="dxa" w:w="120"/>
              <w:bottom w:type="dxa" w:w="80"/>
              <w:right w:type="dxa" w:w="120"/>
            </w:tcMar>
          </w:tcPr>
          <w:p>
            <w:r>
              <w:rPr>
                <w:b/>
                <w:bCs/>
                <w:sz w:val="20"/>
                <w:szCs w:val="20"/>
              </w:rPr>
              <w:t xml:space="preserve">Entry</w:t>
            </w:r>
          </w:p>
        </w:tc>
      </w:tr>
      <w:tr>
        <w:trPr>
          <w:tblHeader w:val="false"/>
        </w:trPr>
        <w:tc>
          <w:tcPr>
            <w:tcMar>
              <w:top w:type="dxa" w:w="80"/>
              <w:left w:type="dxa" w:w="120"/>
              <w:bottom w:type="dxa" w:w="80"/>
              <w:right w:type="dxa" w:w="120"/>
            </w:tcMar>
          </w:tcPr>
          <w:p>
            <w:r>
              <w:rPr>
                <w:b w:val="false"/>
                <w:bCs w:val="false"/>
                <w:sz w:val="20"/>
                <w:szCs w:val="20"/>
              </w:rPr>
              <w:t xml:space="preserve">State whose intrastate rules were checked</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State answer — in scope intrastate? (Y/N)</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State rule or citation relied upon</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Agency or person who confirmed the state answer</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Date confirmed</w:t>
            </w:r>
          </w:p>
        </w:tc>
        <w:tc>
          <w:tcPr>
            <w:tcMar>
              <w:top w:type="dxa" w:w="80"/>
              <w:left w:type="dxa" w:w="120"/>
              <w:bottom w:type="dxa" w:w="80"/>
              <w:right w:type="dxa" w:w="120"/>
            </w:tcMar>
          </w:tcPr>
          <w:p/>
        </w:tc>
      </w:tr>
    </w:tbl>
    <w:p>
      <w:pPr>
        <w:pStyle w:val="Heading2"/>
        <w:spacing w:after="120" w:before="260"/>
      </w:pPr>
      <w:r>
        <w:t xml:space="preserve">5. Obligations if in scope</w:t>
      </w:r>
    </w:p>
    <w:p>
      <w:pPr>
        <w:spacing w:after="140"/>
      </w:pPr>
      <w:r>
        <w:t xml:space="preserve">Assign an owner and a status to every row. A row with no owner is the row that produces the audit finding.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shd w:fill="EDF2F5" w:color="EDF2F5" w:val="solid"/>
            <w:tcMar>
              <w:top w:type="dxa" w:w="80"/>
              <w:left w:type="dxa" w:w="120"/>
              <w:bottom w:type="dxa" w:w="80"/>
              <w:right w:type="dxa" w:w="120"/>
            </w:tcMar>
          </w:tcPr>
          <w:p>
            <w:r>
              <w:rPr>
                <w:b/>
                <w:bCs/>
                <w:sz w:val="20"/>
                <w:szCs w:val="20"/>
              </w:rPr>
              <w:t xml:space="preserve">Obligation</w:t>
            </w:r>
          </w:p>
        </w:tc>
        <w:tc>
          <w:tcPr>
            <w:shd w:fill="EDF2F5" w:color="EDF2F5" w:val="solid"/>
            <w:tcMar>
              <w:top w:type="dxa" w:w="80"/>
              <w:left w:type="dxa" w:w="120"/>
              <w:bottom w:type="dxa" w:w="80"/>
              <w:right w:type="dxa" w:w="120"/>
            </w:tcMar>
          </w:tcPr>
          <w:p>
            <w:r>
              <w:rPr>
                <w:b/>
                <w:bCs/>
                <w:sz w:val="20"/>
                <w:szCs w:val="20"/>
              </w:rPr>
              <w:t xml:space="preserve">What it means</w:t>
            </w:r>
          </w:p>
        </w:tc>
        <w:tc>
          <w:tcPr>
            <w:shd w:fill="EDF2F5" w:color="EDF2F5" w:val="solid"/>
            <w:tcMar>
              <w:top w:type="dxa" w:w="80"/>
              <w:left w:type="dxa" w:w="120"/>
              <w:bottom w:type="dxa" w:w="80"/>
              <w:right w:type="dxa" w:w="120"/>
            </w:tcMar>
          </w:tcPr>
          <w:p>
            <w:r>
              <w:rPr>
                <w:b/>
                <w:bCs/>
                <w:sz w:val="20"/>
                <w:szCs w:val="20"/>
              </w:rPr>
              <w:t xml:space="preserve">Cite</w:t>
            </w:r>
          </w:p>
        </w:tc>
        <w:tc>
          <w:tcPr>
            <w:shd w:fill="EDF2F5" w:color="EDF2F5" w:val="solid"/>
            <w:tcMar>
              <w:top w:type="dxa" w:w="80"/>
              <w:left w:type="dxa" w:w="120"/>
              <w:bottom w:type="dxa" w:w="80"/>
              <w:right w:type="dxa" w:w="120"/>
            </w:tcMar>
          </w:tcPr>
          <w:p>
            <w:r>
              <w:rPr>
                <w:b/>
                <w:bCs/>
                <w:sz w:val="20"/>
                <w:szCs w:val="20"/>
              </w:rPr>
              <w:t xml:space="preserve">Owner</w:t>
            </w:r>
          </w:p>
        </w:tc>
        <w:tc>
          <w:tcPr>
            <w:shd w:fill="EDF2F5" w:color="EDF2F5" w:val="solid"/>
            <w:tcMar>
              <w:top w:type="dxa" w:w="80"/>
              <w:left w:type="dxa" w:w="120"/>
              <w:bottom w:type="dxa" w:w="80"/>
              <w:right w:type="dxa" w:w="120"/>
            </w:tcMar>
          </w:tcPr>
          <w:p>
            <w:r>
              <w:rPr>
                <w:b/>
                <w:bCs/>
                <w:sz w:val="20"/>
                <w:szCs w:val="20"/>
              </w:rPr>
              <w:t xml:space="preserve">Status</w:t>
            </w:r>
          </w:p>
        </w:tc>
      </w:tr>
      <w:tr>
        <w:trPr>
          <w:tblHeader w:val="false"/>
        </w:trPr>
        <w:tc>
          <w:tcPr>
            <w:tcMar>
              <w:top w:type="dxa" w:w="80"/>
              <w:left w:type="dxa" w:w="120"/>
              <w:bottom w:type="dxa" w:w="80"/>
              <w:right w:type="dxa" w:w="120"/>
            </w:tcMar>
          </w:tcPr>
          <w:p>
            <w:r>
              <w:rPr>
                <w:b w:val="false"/>
                <w:bCs w:val="false"/>
                <w:sz w:val="20"/>
                <w:szCs w:val="20"/>
              </w:rPr>
              <w:t xml:space="preserve">USDOT number</w:t>
            </w:r>
          </w:p>
        </w:tc>
        <w:tc>
          <w:tcPr>
            <w:tcMar>
              <w:top w:type="dxa" w:w="80"/>
              <w:left w:type="dxa" w:w="120"/>
              <w:bottom w:type="dxa" w:w="80"/>
              <w:right w:type="dxa" w:w="120"/>
            </w:tcMar>
          </w:tcPr>
          <w:p>
            <w:r>
              <w:rPr>
                <w:b w:val="false"/>
                <w:bCs w:val="false"/>
                <w:sz w:val="20"/>
                <w:szCs w:val="20"/>
              </w:rPr>
              <w:t xml:space="preserve">Register before operating.</w:t>
            </w:r>
          </w:p>
        </w:tc>
        <w:tc>
          <w:tcPr>
            <w:tcMar>
              <w:top w:type="dxa" w:w="80"/>
              <w:left w:type="dxa" w:w="120"/>
              <w:bottom w:type="dxa" w:w="80"/>
              <w:right w:type="dxa" w:w="120"/>
            </w:tcMar>
          </w:tcPr>
          <w:p>
            <w:r>
              <w:rPr>
                <w:b w:val="false"/>
                <w:bCs w:val="false"/>
                <w:sz w:val="20"/>
                <w:szCs w:val="20"/>
              </w:rPr>
              <w:t xml:space="preserve">FMCSA registration</w:t>
            </w:r>
          </w:p>
        </w:tc>
        <w:tc>
          <w:tcPr>
            <w:tcMar>
              <w:top w:type="dxa" w:w="80"/>
              <w:left w:type="dxa" w:w="120"/>
              <w:bottom w:type="dxa" w:w="80"/>
              <w:right w:type="dxa" w:w="120"/>
            </w:tcMar>
          </w:tcP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Driver qualification files</w:t>
            </w:r>
          </w:p>
        </w:tc>
        <w:tc>
          <w:tcPr>
            <w:tcMar>
              <w:top w:type="dxa" w:w="80"/>
              <w:left w:type="dxa" w:w="120"/>
              <w:bottom w:type="dxa" w:w="80"/>
              <w:right w:type="dxa" w:w="120"/>
            </w:tcMar>
          </w:tcPr>
          <w:p>
            <w:r>
              <w:rPr>
                <w:b w:val="false"/>
                <w:bCs w:val="false"/>
                <w:sz w:val="20"/>
                <w:szCs w:val="20"/>
              </w:rPr>
              <w:t xml:space="preserve">Application, MVR at hire and annually, road test or equivalent, medical certificate, annual violation certification.</w:t>
            </w:r>
          </w:p>
        </w:tc>
        <w:tc>
          <w:tcPr>
            <w:tcMar>
              <w:top w:type="dxa" w:w="80"/>
              <w:left w:type="dxa" w:w="120"/>
              <w:bottom w:type="dxa" w:w="80"/>
              <w:right w:type="dxa" w:w="120"/>
            </w:tcMar>
          </w:tcPr>
          <w:p>
            <w:r>
              <w:rPr>
                <w:b w:val="false"/>
                <w:bCs w:val="false"/>
                <w:sz w:val="20"/>
                <w:szCs w:val="20"/>
              </w:rPr>
              <w:t xml:space="preserve">49 CFR 391</w:t>
            </w:r>
          </w:p>
        </w:tc>
        <w:tc>
          <w:tcPr>
            <w:tcMar>
              <w:top w:type="dxa" w:w="80"/>
              <w:left w:type="dxa" w:w="120"/>
              <w:bottom w:type="dxa" w:w="80"/>
              <w:right w:type="dxa" w:w="120"/>
            </w:tcMar>
          </w:tcP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Drug and alcohol programme</w:t>
            </w:r>
          </w:p>
        </w:tc>
        <w:tc>
          <w:tcPr>
            <w:tcMar>
              <w:top w:type="dxa" w:w="80"/>
              <w:left w:type="dxa" w:w="120"/>
              <w:bottom w:type="dxa" w:w="80"/>
              <w:right w:type="dxa" w:w="120"/>
            </w:tcMar>
          </w:tcPr>
          <w:p>
            <w:r>
              <w:rPr>
                <w:b w:val="false"/>
                <w:bCs w:val="false"/>
                <w:sz w:val="20"/>
                <w:szCs w:val="20"/>
              </w:rPr>
              <w:t xml:space="preserve">Pre-employment, random, post-accident and reasonable-suspicion testing, plus Clearinghouse queries — for drivers of vehicles requiring a CDL.</w:t>
            </w:r>
          </w:p>
        </w:tc>
        <w:tc>
          <w:tcPr>
            <w:tcMar>
              <w:top w:type="dxa" w:w="80"/>
              <w:left w:type="dxa" w:w="120"/>
              <w:bottom w:type="dxa" w:w="80"/>
              <w:right w:type="dxa" w:w="120"/>
            </w:tcMar>
          </w:tcPr>
          <w:p>
            <w:r>
              <w:rPr>
                <w:b w:val="false"/>
                <w:bCs w:val="false"/>
                <w:sz w:val="20"/>
                <w:szCs w:val="20"/>
              </w:rPr>
              <w:t xml:space="preserve">49 CFR 382</w:t>
            </w:r>
          </w:p>
        </w:tc>
        <w:tc>
          <w:tcPr>
            <w:tcMar>
              <w:top w:type="dxa" w:w="80"/>
              <w:left w:type="dxa" w:w="120"/>
              <w:bottom w:type="dxa" w:w="80"/>
              <w:right w:type="dxa" w:w="120"/>
            </w:tcMar>
          </w:tcP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Hours of service</w:t>
            </w:r>
          </w:p>
        </w:tc>
        <w:tc>
          <w:tcPr>
            <w:tcMar>
              <w:top w:type="dxa" w:w="80"/>
              <w:left w:type="dxa" w:w="120"/>
              <w:bottom w:type="dxa" w:w="80"/>
              <w:right w:type="dxa" w:w="120"/>
            </w:tcMar>
          </w:tcPr>
          <w:p>
            <w:r>
              <w:rPr>
                <w:b w:val="false"/>
                <w:bCs w:val="false"/>
                <w:sz w:val="20"/>
                <w:szCs w:val="20"/>
              </w:rPr>
              <w:t xml:space="preserve">Records of duty status and, in most cases, an ELD.</w:t>
            </w:r>
          </w:p>
        </w:tc>
        <w:tc>
          <w:tcPr>
            <w:tcMar>
              <w:top w:type="dxa" w:w="80"/>
              <w:left w:type="dxa" w:w="120"/>
              <w:bottom w:type="dxa" w:w="80"/>
              <w:right w:type="dxa" w:w="120"/>
            </w:tcMar>
          </w:tcPr>
          <w:p>
            <w:r>
              <w:rPr>
                <w:b w:val="false"/>
                <w:bCs w:val="false"/>
                <w:sz w:val="20"/>
                <w:szCs w:val="20"/>
              </w:rPr>
              <w:t xml:space="preserve">49 CFR 395</w:t>
            </w:r>
          </w:p>
        </w:tc>
        <w:tc>
          <w:tcPr>
            <w:tcMar>
              <w:top w:type="dxa" w:w="80"/>
              <w:left w:type="dxa" w:w="120"/>
              <w:bottom w:type="dxa" w:w="80"/>
              <w:right w:type="dxa" w:w="120"/>
            </w:tcMar>
          </w:tcP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Driver vehicle inspection reports</w:t>
            </w:r>
          </w:p>
        </w:tc>
        <w:tc>
          <w:tcPr>
            <w:tcMar>
              <w:top w:type="dxa" w:w="80"/>
              <w:left w:type="dxa" w:w="120"/>
              <w:bottom w:type="dxa" w:w="80"/>
              <w:right w:type="dxa" w:w="120"/>
            </w:tcMar>
          </w:tcPr>
          <w:p>
            <w:r>
              <w:rPr>
                <w:b w:val="false"/>
                <w:bCs w:val="false"/>
                <w:sz w:val="20"/>
                <w:szCs w:val="20"/>
              </w:rPr>
              <w:t xml:space="preserve">Defects reported, corrected and certified before the vehicle returns to service.</w:t>
            </w:r>
          </w:p>
        </w:tc>
        <w:tc>
          <w:tcPr>
            <w:tcMar>
              <w:top w:type="dxa" w:w="80"/>
              <w:left w:type="dxa" w:w="120"/>
              <w:bottom w:type="dxa" w:w="80"/>
              <w:right w:type="dxa" w:w="120"/>
            </w:tcMar>
          </w:tcPr>
          <w:p>
            <w:r>
              <w:rPr>
                <w:b w:val="false"/>
                <w:bCs w:val="false"/>
                <w:sz w:val="20"/>
                <w:szCs w:val="20"/>
              </w:rPr>
              <w:t xml:space="preserve">49 CFR 396.11</w:t>
            </w:r>
          </w:p>
        </w:tc>
        <w:tc>
          <w:tcPr>
            <w:tcMar>
              <w:top w:type="dxa" w:w="80"/>
              <w:left w:type="dxa" w:w="120"/>
              <w:bottom w:type="dxa" w:w="80"/>
              <w:right w:type="dxa" w:w="120"/>
            </w:tcMar>
          </w:tcP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Annual inspection</w:t>
            </w:r>
          </w:p>
        </w:tc>
        <w:tc>
          <w:tcPr>
            <w:tcMar>
              <w:top w:type="dxa" w:w="80"/>
              <w:left w:type="dxa" w:w="120"/>
              <w:bottom w:type="dxa" w:w="80"/>
              <w:right w:type="dxa" w:w="120"/>
            </w:tcMar>
          </w:tcPr>
          <w:p>
            <w:r>
              <w:rPr>
                <w:b w:val="false"/>
                <w:bCs w:val="false"/>
                <w:sz w:val="20"/>
                <w:szCs w:val="20"/>
              </w:rPr>
              <w:t xml:space="preserve">Documented periodic inspection at least every 12 months.</w:t>
            </w:r>
          </w:p>
        </w:tc>
        <w:tc>
          <w:tcPr>
            <w:tcMar>
              <w:top w:type="dxa" w:w="80"/>
              <w:left w:type="dxa" w:w="120"/>
              <w:bottom w:type="dxa" w:w="80"/>
              <w:right w:type="dxa" w:w="120"/>
            </w:tcMar>
          </w:tcPr>
          <w:p>
            <w:r>
              <w:rPr>
                <w:b w:val="false"/>
                <w:bCs w:val="false"/>
                <w:sz w:val="20"/>
                <w:szCs w:val="20"/>
              </w:rPr>
              <w:t xml:space="preserve">49 CFR 396.17</w:t>
            </w:r>
          </w:p>
        </w:tc>
        <w:tc>
          <w:tcPr>
            <w:tcMar>
              <w:top w:type="dxa" w:w="80"/>
              <w:left w:type="dxa" w:w="120"/>
              <w:bottom w:type="dxa" w:w="80"/>
              <w:right w:type="dxa" w:w="120"/>
            </w:tcMar>
          </w:tcP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Systematic maintenance</w:t>
            </w:r>
          </w:p>
        </w:tc>
        <w:tc>
          <w:tcPr>
            <w:tcMar>
              <w:top w:type="dxa" w:w="80"/>
              <w:left w:type="dxa" w:w="120"/>
              <w:bottom w:type="dxa" w:w="80"/>
              <w:right w:type="dxa" w:w="120"/>
            </w:tcMar>
          </w:tcPr>
          <w:p>
            <w:r>
              <w:rPr>
                <w:b w:val="false"/>
                <w:bCs w:val="false"/>
                <w:sz w:val="20"/>
                <w:szCs w:val="20"/>
              </w:rPr>
              <w:t xml:space="preserve">A documented maintenance programme with records retained per vehicle.</w:t>
            </w:r>
          </w:p>
        </w:tc>
        <w:tc>
          <w:tcPr>
            <w:tcMar>
              <w:top w:type="dxa" w:w="80"/>
              <w:left w:type="dxa" w:w="120"/>
              <w:bottom w:type="dxa" w:w="80"/>
              <w:right w:type="dxa" w:w="120"/>
            </w:tcMar>
          </w:tcPr>
          <w:p>
            <w:r>
              <w:rPr>
                <w:b w:val="false"/>
                <w:bCs w:val="false"/>
                <w:sz w:val="20"/>
                <w:szCs w:val="20"/>
              </w:rPr>
              <w:t xml:space="preserve">49 CFR 396.3</w:t>
            </w:r>
          </w:p>
        </w:tc>
        <w:tc>
          <w:tcPr>
            <w:tcMar>
              <w:top w:type="dxa" w:w="80"/>
              <w:left w:type="dxa" w:w="120"/>
              <w:bottom w:type="dxa" w:w="80"/>
              <w:right w:type="dxa" w:w="120"/>
            </w:tcMar>
          </w:tcPr>
          <w:p/>
        </w:tc>
        <w:tc>
          <w:tcPr>
            <w:tcMar>
              <w:top w:type="dxa" w:w="80"/>
              <w:left w:type="dxa" w:w="120"/>
              <w:bottom w:type="dxa" w:w="80"/>
              <w:right w:type="dxa" w:w="120"/>
            </w:tcMar>
          </w:tcPr>
          <w:p/>
        </w:tc>
      </w:tr>
    </w:tbl>
    <w:p>
      <w:pPr>
        <w:pStyle w:val="Heading2"/>
        <w:spacing w:after="120" w:before="260"/>
      </w:pPr>
      <w:r>
        <w:t xml:space="preserve">6. CDL determination</w:t>
      </w:r>
    </w:p>
    <w:p>
      <w:pPr>
        <w:spacing w:after="140"/>
      </w:pPr>
      <w:r>
        <w:t xml:space="preserve">Whether the driver needs a commercial driver’s license is a separate question from whether the vehicle is a commercial motor vehicle, and the threshold sits higher. Check the group that applies, or the last line if none does.</w:t>
      </w:r>
    </w:p>
    <w:p>
      <w:pPr>
        <w:spacing w:after="110"/>
        <w:ind w:left="200"/>
      </w:pPr>
      <w:r>
        <w:rPr>
          <w:rFonts w:ascii="Segoe UI Symbol" w:cs="Segoe UI Symbol" w:eastAsia="Segoe UI Symbol" w:hAnsi="Segoe UI Symbol"/>
          <w:sz w:val="24"/>
          <w:szCs w:val="24"/>
        </w:rPr>
        <w:t xml:space="preserve">☐</w:t>
      </w:r>
      <w:r>
        <w:rPr>
          <w:sz w:val="20"/>
          <w:szCs w:val="20"/>
        </w:rPr>
        <w:t xml:space="preserve">  Class A — Combination of vehicles with a gross combination weight rating of 26,001 lb or more, where the towed unit or units are rated at more than 10,000 lb.</w:t>
      </w:r>
      <w:r>
        <w:rPr>
          <w:color w:val="6B7280"/>
          <w:sz w:val="18"/>
          <w:szCs w:val="18"/>
        </w:rPr>
        <w:t xml:space="preserve">  (49 CFR 383.91(a)(1))</w:t>
      </w:r>
    </w:p>
    <w:p>
      <w:pPr>
        <w:spacing w:after="110"/>
        <w:ind w:left="200"/>
      </w:pPr>
      <w:r>
        <w:rPr>
          <w:rFonts w:ascii="Segoe UI Symbol" w:cs="Segoe UI Symbol" w:eastAsia="Segoe UI Symbol" w:hAnsi="Segoe UI Symbol"/>
          <w:sz w:val="24"/>
          <w:szCs w:val="24"/>
        </w:rPr>
        <w:t xml:space="preserve">☐</w:t>
      </w:r>
      <w:r>
        <w:rPr>
          <w:sz w:val="20"/>
          <w:szCs w:val="20"/>
        </w:rPr>
        <w:t xml:space="preserve">  Class B — Single vehicle with a gross vehicle weight rating of 26,001 lb or more, or such a vehicle towing a unit rated at 10,000 lb or less.</w:t>
      </w:r>
      <w:r>
        <w:rPr>
          <w:color w:val="6B7280"/>
          <w:sz w:val="18"/>
          <w:szCs w:val="18"/>
        </w:rPr>
        <w:t xml:space="preserve">  (49 CFR 383.91(a)(2))</w:t>
      </w:r>
    </w:p>
    <w:p>
      <w:pPr>
        <w:spacing w:after="110"/>
        <w:ind w:left="200"/>
      </w:pPr>
      <w:r>
        <w:rPr>
          <w:rFonts w:ascii="Segoe UI Symbol" w:cs="Segoe UI Symbol" w:eastAsia="Segoe UI Symbol" w:hAnsi="Segoe UI Symbol"/>
          <w:sz w:val="24"/>
          <w:szCs w:val="24"/>
        </w:rPr>
        <w:t xml:space="preserve">☐</w:t>
      </w:r>
      <w:r>
        <w:rPr>
          <w:sz w:val="20"/>
          <w:szCs w:val="20"/>
        </w:rPr>
        <w:t xml:space="preserve">  Class C — Vehicle below the Class A and Class B ratings that is designed to transport 16 or more passengers including the driver, or that carries hazardous materials requiring placards.</w:t>
      </w:r>
      <w:r>
        <w:rPr>
          <w:color w:val="6B7280"/>
          <w:sz w:val="18"/>
          <w:szCs w:val="18"/>
        </w:rPr>
        <w:t xml:space="preserve">  (49 CFR 383.91(a)(3))</w:t>
      </w:r>
    </w:p>
    <w:p>
      <w:pPr>
        <w:spacing w:after="110"/>
        <w:ind w:left="200"/>
      </w:pPr>
      <w:r>
        <w:rPr>
          <w:rFonts w:ascii="Segoe UI Symbol" w:cs="Segoe UI Symbol" w:eastAsia="Segoe UI Symbol" w:hAnsi="Segoe UI Symbol"/>
          <w:sz w:val="24"/>
          <w:szCs w:val="24"/>
        </w:rPr>
        <w:t xml:space="preserve">☐</w:t>
      </w:r>
      <w:r>
        <w:rPr>
          <w:sz w:val="20"/>
          <w:szCs w:val="20"/>
        </w:rPr>
        <w:t xml:space="preserve">  No CDL required by federal rule for this vehicle.</w:t>
      </w:r>
    </w:p>
    <w:p>
      <w:pPr>
        <w:spacing w:after="140" w:before="100"/>
      </w:pPr>
      <w:r>
        <w:rPr>
          <w:b/>
          <w:bCs/>
          <w:sz w:val="20"/>
          <w:szCs w:val="20"/>
        </w:rPr>
        <w:t xml:space="preserve">A vehicle rated between 10,001 lb and 26,000 lb is a commercial motor vehicle subject to the full motor carrier rules even though its driver needs no CDL. No CDL required does not mean no rules apply.</w:t>
      </w:r>
    </w:p>
    <w:p>
      <w:pPr>
        <w:spacing w:after="140"/>
      </w:pPr>
      <w:r>
        <w:t xml:space="preserve">Class C is the exception to that band. A vehicle below the Class A and Class B weight ratings still requires a CDL if it is designed to transport 16 or more passengers including the driver, or if it carries hazardous materials in a quantity requiring placards. If the Class C box is checked, a CDL is required regardless of weight rating.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EDF2F5" w:color="EDF2F5" w:val="solid"/>
            <w:tcMar>
              <w:top w:type="dxa" w:w="80"/>
              <w:left w:type="dxa" w:w="120"/>
              <w:bottom w:type="dxa" w:w="80"/>
              <w:right w:type="dxa" w:w="120"/>
            </w:tcMar>
          </w:tcPr>
          <w:p>
            <w:r>
              <w:rPr>
                <w:b/>
                <w:bCs/>
                <w:sz w:val="20"/>
                <w:szCs w:val="20"/>
              </w:rPr>
              <w:t xml:space="preserve">Item</w:t>
            </w:r>
          </w:p>
        </w:tc>
        <w:tc>
          <w:tcPr>
            <w:shd w:fill="EDF2F5" w:color="EDF2F5" w:val="solid"/>
            <w:tcMar>
              <w:top w:type="dxa" w:w="80"/>
              <w:left w:type="dxa" w:w="120"/>
              <w:bottom w:type="dxa" w:w="80"/>
              <w:right w:type="dxa" w:w="120"/>
            </w:tcMar>
          </w:tcPr>
          <w:p>
            <w:r>
              <w:rPr>
                <w:b/>
                <w:bCs/>
                <w:sz w:val="20"/>
                <w:szCs w:val="20"/>
              </w:rPr>
              <w:t xml:space="preserve">Entry</w:t>
            </w:r>
          </w:p>
        </w:tc>
      </w:tr>
      <w:tr>
        <w:trPr>
          <w:tblHeader w:val="false"/>
        </w:trPr>
        <w:tc>
          <w:tcPr>
            <w:tcMar>
              <w:top w:type="dxa" w:w="80"/>
              <w:left w:type="dxa" w:w="120"/>
              <w:bottom w:type="dxa" w:w="80"/>
              <w:right w:type="dxa" w:w="120"/>
            </w:tcMar>
          </w:tcPr>
          <w:p>
            <w:r>
              <w:rPr>
                <w:b w:val="false"/>
                <w:bCs w:val="false"/>
                <w:sz w:val="20"/>
                <w:szCs w:val="20"/>
              </w:rPr>
              <w:t xml:space="preserve">Endorsements required, if any</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Drivers affected</w:t>
            </w:r>
          </w:p>
        </w:tc>
        <w:tc>
          <w:tcPr>
            <w:tcMar>
              <w:top w:type="dxa" w:w="80"/>
              <w:left w:type="dxa" w:w="120"/>
              <w:bottom w:type="dxa" w:w="80"/>
              <w:right w:type="dxa" w:w="120"/>
            </w:tcMar>
          </w:tcPr>
          <w:p/>
        </w:tc>
      </w:tr>
    </w:tbl>
    <w:p>
      <w:pPr>
        <w:pStyle w:val="Heading2"/>
        <w:spacing w:after="120" w:before="260"/>
      </w:pPr>
      <w:r>
        <w:t xml:space="preserve">7. Short-haul exception (49 CFR 395.1(e))</w:t>
      </w:r>
    </w:p>
    <w:p>
      <w:pPr>
        <w:spacing w:after="140"/>
      </w:pPr>
      <w:r>
        <w:t xml:space="preserve">Drivers who stay within a 150 air-mile radius of their reporting location and return to it within 14 consecutive hours are excepted from preparing records of duty status, and therefore from the ELD requirement.</w:t>
      </w:r>
    </w:p>
    <w:p>
      <w:pPr>
        <w:spacing w:after="110"/>
        <w:ind w:left="200"/>
      </w:pPr>
      <w:r>
        <w:rPr>
          <w:rFonts w:ascii="Segoe UI Symbol" w:cs="Segoe UI Symbol" w:eastAsia="Segoe UI Symbol" w:hAnsi="Segoe UI Symbol"/>
          <w:sz w:val="24"/>
          <w:szCs w:val="24"/>
        </w:rPr>
        <w:t xml:space="preserve">☐</w:t>
      </w:r>
      <w:r>
        <w:rPr>
          <w:sz w:val="20"/>
          <w:szCs w:val="20"/>
        </w:rPr>
        <w:t xml:space="preserve">  The exception is claimed for this vehicle or group.</w:t>
      </w:r>
    </w:p>
    <w:p>
      <w:pPr>
        <w:spacing w:after="110"/>
        <w:ind w:left="200"/>
      </w:pPr>
      <w:r>
        <w:rPr>
          <w:rFonts w:ascii="Segoe UI Symbol" w:cs="Segoe UI Symbol" w:eastAsia="Segoe UI Symbol" w:hAnsi="Segoe UI Symbol"/>
          <w:sz w:val="24"/>
          <w:szCs w:val="24"/>
        </w:rPr>
        <w:t xml:space="preserve">☐</w:t>
      </w:r>
      <w:r>
        <w:rPr>
          <w:sz w:val="20"/>
          <w:szCs w:val="20"/>
        </w:rPr>
        <w:t xml:space="preserve">  The exception is not claimed. Records of duty status are prepared.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EDF2F5" w:color="EDF2F5" w:val="solid"/>
            <w:tcMar>
              <w:top w:type="dxa" w:w="80"/>
              <w:left w:type="dxa" w:w="120"/>
              <w:bottom w:type="dxa" w:w="80"/>
              <w:right w:type="dxa" w:w="120"/>
            </w:tcMar>
          </w:tcPr>
          <w:p>
            <w:r>
              <w:rPr>
                <w:b/>
                <w:bCs/>
                <w:sz w:val="20"/>
                <w:szCs w:val="20"/>
              </w:rPr>
              <w:t xml:space="preserve">Item</w:t>
            </w:r>
          </w:p>
        </w:tc>
        <w:tc>
          <w:tcPr>
            <w:shd w:fill="EDF2F5" w:color="EDF2F5" w:val="solid"/>
            <w:tcMar>
              <w:top w:type="dxa" w:w="80"/>
              <w:left w:type="dxa" w:w="120"/>
              <w:bottom w:type="dxa" w:w="80"/>
              <w:right w:type="dxa" w:w="120"/>
            </w:tcMar>
          </w:tcPr>
          <w:p>
            <w:r>
              <w:rPr>
                <w:b/>
                <w:bCs/>
                <w:sz w:val="20"/>
                <w:szCs w:val="20"/>
              </w:rPr>
              <w:t xml:space="preserve">Entry</w:t>
            </w:r>
          </w:p>
        </w:tc>
      </w:tr>
      <w:tr>
        <w:trPr>
          <w:tblHeader w:val="false"/>
        </w:trPr>
        <w:tc>
          <w:tcPr>
            <w:tcMar>
              <w:top w:type="dxa" w:w="80"/>
              <w:left w:type="dxa" w:w="120"/>
              <w:bottom w:type="dxa" w:w="80"/>
              <w:right w:type="dxa" w:w="120"/>
            </w:tcMar>
          </w:tcPr>
          <w:p>
            <w:r>
              <w:rPr>
                <w:b w:val="false"/>
                <w:bCs w:val="false"/>
                <w:sz w:val="20"/>
                <w:szCs w:val="20"/>
              </w:rPr>
              <w:t xml:space="preserve">Reporting location(s) used</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150 air-mile radius confirmed — how, and by whom</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Return within 14 hours confirmed — how, and by whom</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Where time records showing start, end and total hours on duty are kept</w:t>
            </w:r>
          </w:p>
        </w:tc>
        <w:tc>
          <w:tcPr>
            <w:tcMar>
              <w:top w:type="dxa" w:w="80"/>
              <w:left w:type="dxa" w:w="120"/>
              <w:bottom w:type="dxa" w:w="80"/>
              <w:right w:type="dxa" w:w="120"/>
            </w:tcMar>
          </w:tcPr>
          <w:p/>
        </w:tc>
      </w:tr>
      <w:tr>
        <w:trPr>
          <w:tblHeader w:val="false"/>
        </w:trPr>
        <w:tc>
          <w:tcPr>
            <w:tcMar>
              <w:top w:type="dxa" w:w="80"/>
              <w:left w:type="dxa" w:w="120"/>
              <w:bottom w:type="dxa" w:w="80"/>
              <w:right w:type="dxa" w:w="120"/>
            </w:tcMar>
          </w:tcPr>
          <w:p>
            <w:r>
              <w:rPr>
                <w:b w:val="false"/>
                <w:bCs w:val="false"/>
                <w:sz w:val="20"/>
                <w:szCs w:val="20"/>
              </w:rPr>
              <w:t xml:space="preserve">How a day that exceeds the exception is identified and logged</w:t>
            </w:r>
          </w:p>
        </w:tc>
        <w:tc>
          <w:tcPr>
            <w:tcMar>
              <w:top w:type="dxa" w:w="80"/>
              <w:left w:type="dxa" w:w="120"/>
              <w:bottom w:type="dxa" w:w="80"/>
              <w:right w:type="dxa" w:w="120"/>
            </w:tcMar>
          </w:tcPr>
          <w:p/>
        </w:tc>
      </w:tr>
    </w:tbl>
    <w:p>
      <w:pPr>
        <w:spacing w:after="120"/>
      </w:pPr>
      <w:r>
        <w:rPr>
          <w:b/>
          <w:bCs/>
          <w:sz w:val="20"/>
          <w:szCs w:val="20"/>
        </w:rPr>
        <w:t xml:space="preserve">It is an exception to logging, not to the safety rules. Driver qualification files, drug and alcohol testing, DVIRs, maintenance records and annual inspections all still apply, and you must keep time records showing start time, end time and total hours on duty.</w:t>
      </w:r>
    </w:p>
    <w:p>
      <w:pPr>
        <w:spacing w:after="120"/>
      </w:pPr>
      <w:r>
        <w:rPr>
          <w:b/>
          <w:bCs/>
          <w:sz w:val="20"/>
          <w:szCs w:val="20"/>
        </w:rPr>
        <w:t xml:space="preserve">It is lost on any day it is exceeded. One trip beyond the 150 air-mile radius, or one day running past 14 hours, and that driver needs a record of duty status for that day. If it happens regularly, the exception is not a fit.</w:t>
      </w:r>
    </w:p>
    <w:p>
      <w:pPr>
        <w:pStyle w:val="Heading2"/>
        <w:spacing w:after="120" w:before="260"/>
      </w:pPr>
      <w:r>
        <w:t xml:space="preserve">8. Determination, signature and review</w:t>
      </w:r>
    </w:p>
    <w:p>
      <w:pPr>
        <w:spacing w:after="140"/>
      </w:pPr>
      <w:r>
        <w:t xml:space="preserve">I have applied the tests above to the vehicle or group identified in section 1, using the ratings on the manufacturer’s plate and the operating pattern in effect on the determination date.</w:t>
      </w:r>
    </w:p>
    <w:p>
      <w:pPr>
        <w:spacing w:after="20" w:before="240"/>
      </w:pPr>
      <w:r>
        <w:rPr>
          <w:b/>
          <w:bCs/>
          <w:sz w:val="20"/>
          <w:szCs w:val="20"/>
        </w:rPr>
        <w:t xml:space="preserve">Prepared by (name and title)</w:t>
      </w:r>
    </w:p>
    <w:p>
      <w:pPr>
        <w:pBdr>
          <w:bottom w:val="single" w:color="23414B" w:sz="6"/>
        </w:pBdr>
        <w:spacing w:after="160"/>
      </w:pPr>
      <w:r>
        <w:t xml:space="preserve"/>
      </w:r>
    </w:p>
    <w:p>
      <w:pPr>
        <w:spacing w:after="20" w:before="240"/>
      </w:pPr>
      <w:r>
        <w:rPr>
          <w:b/>
          <w:bCs/>
          <w:sz w:val="20"/>
          <w:szCs w:val="20"/>
        </w:rPr>
        <w:t xml:space="preserve">Signature and date</w:t>
      </w:r>
    </w:p>
    <w:p>
      <w:pPr>
        <w:pBdr>
          <w:bottom w:val="single" w:color="23414B" w:sz="6"/>
        </w:pBdr>
        <w:spacing w:after="160"/>
      </w:pPr>
      <w:r>
        <w:t xml:space="preserve"/>
      </w:r>
    </w:p>
    <w:p>
      <w:pPr>
        <w:spacing w:after="20" w:before="240"/>
      </w:pPr>
      <w:r>
        <w:rPr>
          <w:b/>
          <w:bCs/>
          <w:sz w:val="20"/>
          <w:szCs w:val="20"/>
        </w:rPr>
        <w:t xml:space="preserve">Reviewed by (name and title), if applicable</w:t>
      </w:r>
    </w:p>
    <w:p>
      <w:pPr>
        <w:pBdr>
          <w:bottom w:val="single" w:color="23414B" w:sz="6"/>
        </w:pBdr>
        <w:spacing w:after="160"/>
      </w:pPr>
      <w:r>
        <w:t xml:space="preserve"/>
      </w:r>
    </w:p>
    <w:p>
      <w:pPr>
        <w:spacing w:after="140"/>
      </w:pPr>
      <w:r>
        <w:t xml:space="preserve">Next review date: </w:t>
      </w:r>
      <w:r>
        <w:rPr>
          <w:b/>
          <w:bCs/>
          <w:color w:val="B4531A"/>
        </w:rPr>
        <w:t xml:space="preserve">[DATE]</w:t>
      </w:r>
      <w:r>
        <w:t xml:space="preserve">  — or immediately on any change to rating, towed unit, route, or cargo.</w:t>
      </w:r>
    </w:p>
    <w:p>
      <w:pPr>
        <w:spacing w:before="200"/>
      </w:pPr>
      <w:r>
        <w:rPr>
          <w:color w:val="6B7280"/>
          <w:sz w:val="16"/>
          <w:szCs w:val="16"/>
        </w:rPr>
        <w:t xml:space="preserve">Determination based on 49 CFR 390.5, Part 383 and 49 CFR 395.1(e). Version 1.0, source material reviewed 2026-07-01.</w:t>
      </w:r>
    </w:p>
    <w:p>
      <w:pPr>
        <w:sectPr>
          <w:pgSz w:w="11906" w:h="16838" w:orient="portrait"/>
          <w:pgMar w:top="1000" w:right="1000" w:bottom="1000" w:left="1000" w:header="708" w:footer="708" w:gutter="0"/>
          <w:pgNumType/>
          <w:docGrid w:linePitch="360"/>
        </w:sectPr>
      </w:pPr>
    </w:p>
    <w:p>
      <w:pPr>
        <w:pStyle w:val="Heading1"/>
        <w:spacing w:after="120" w:before="260"/>
      </w:pPr>
      <w:r>
        <w:t xml:space="preserve">Regulatory references and method</w:t>
      </w:r>
    </w:p>
    <w:p>
      <w:pPr>
        <w:spacing w:after="140"/>
      </w:pPr>
      <w:r>
        <w:t xml:space="preserve">This record applies the federal definitions in the regulations below. It does not cover state intrastate rules, which section 4 asks you to confirm separately. Marked sources are primary — regulations, standards bodies and government publications.</w:t>
      </w:r>
    </w:p>
    <w:p>
      <w:pPr>
        <w:spacing w:after="140"/>
      </w:pPr>
      <w:r>
        <w:rPr>
          <w:sz w:val="20"/>
          <w:szCs w:val="20"/>
        </w:rPr>
        <w:t xml:space="preserve">49 CFR Part 390 — definition of a commercial motor vehicle (§ 390.5)</w:t>
      </w:r>
      <w:r>
        <w:rPr>
          <w:color w:val="6B7280"/>
          <w:sz w:val="18"/>
          <w:szCs w:val="18"/>
        </w:rPr>
        <w:t xml:space="preserve">  (primary source)</w:t>
      </w:r>
      <w:r>
        <w:rPr>
          <w:color w:val="6B7280"/>
          <w:sz w:val="18"/>
          <w:szCs w:val="18"/>
        </w:rPr>
        <w:br/>
        <w:t xml:space="preserve">https://www.ecfr.gov/current/title-49/part-390</w:t>
      </w:r>
    </w:p>
    <w:p>
      <w:pPr>
        <w:spacing w:after="140"/>
      </w:pPr>
      <w:r>
        <w:rPr>
          <w:sz w:val="20"/>
          <w:szCs w:val="20"/>
        </w:rPr>
        <w:t xml:space="preserve">49 CFR Part 383 — commercial driver's license standards</w:t>
      </w:r>
      <w:r>
        <w:rPr>
          <w:color w:val="6B7280"/>
          <w:sz w:val="18"/>
          <w:szCs w:val="18"/>
        </w:rPr>
        <w:t xml:space="preserve">  (primary source)</w:t>
      </w:r>
      <w:r>
        <w:rPr>
          <w:color w:val="6B7280"/>
          <w:sz w:val="18"/>
          <w:szCs w:val="18"/>
        </w:rPr>
        <w:br/>
        <w:t xml:space="preserve">https://www.ecfr.gov/current/title-49/part-383</w:t>
      </w:r>
    </w:p>
    <w:p>
      <w:pPr>
        <w:spacing w:after="140"/>
      </w:pPr>
      <w:r>
        <w:rPr>
          <w:sz w:val="20"/>
          <w:szCs w:val="20"/>
        </w:rPr>
        <w:t xml:space="preserve">49 CFR Part 395 — hours of service</w:t>
      </w:r>
      <w:r>
        <w:rPr>
          <w:color w:val="6B7280"/>
          <w:sz w:val="18"/>
          <w:szCs w:val="18"/>
        </w:rPr>
        <w:t xml:space="preserve">  (primary source)</w:t>
      </w:r>
      <w:r>
        <w:rPr>
          <w:color w:val="6B7280"/>
          <w:sz w:val="18"/>
          <w:szCs w:val="18"/>
        </w:rPr>
        <w:br/>
        <w:t xml:space="preserve">https://www.ecfr.gov/current/title-49/part-395</w:t>
      </w:r>
    </w:p>
    <w:p>
      <w:pPr>
        <w:spacing w:after="140"/>
      </w:pPr>
      <w:r>
        <w:rPr>
          <w:sz w:val="20"/>
          <w:szCs w:val="20"/>
        </w:rPr>
        <w:t xml:space="preserve">49 CFR Part 396 — inspection, repair and maintenance</w:t>
      </w:r>
      <w:r>
        <w:rPr>
          <w:color w:val="6B7280"/>
          <w:sz w:val="18"/>
          <w:szCs w:val="18"/>
        </w:rPr>
        <w:t xml:space="preserve">  (primary source)</w:t>
      </w:r>
      <w:r>
        <w:rPr>
          <w:color w:val="6B7280"/>
          <w:sz w:val="18"/>
          <w:szCs w:val="18"/>
        </w:rPr>
        <w:br/>
        <w:t xml:space="preserve">https://www.ecfr.gov/current/title-49/part-396</w:t>
      </w:r>
    </w:p>
    <w:p>
      <w:pPr>
        <w:spacing w:after="140"/>
      </w:pPr>
      <w:r>
        <w:rPr>
          <w:sz w:val="20"/>
          <w:szCs w:val="20"/>
        </w:rPr>
        <w:t xml:space="preserve">FMCSA — Do I need a USDOT number?</w:t>
      </w:r>
      <w:r>
        <w:rPr>
          <w:color w:val="6B7280"/>
          <w:sz w:val="18"/>
          <w:szCs w:val="18"/>
        </w:rPr>
        <w:t xml:space="preserve">  (primary source)</w:t>
      </w:r>
      <w:r>
        <w:rPr>
          <w:color w:val="6B7280"/>
          <w:sz w:val="18"/>
          <w:szCs w:val="18"/>
        </w:rPr>
        <w:br/>
        <w:t xml:space="preserve">https://www.fmcsa.dot.gov/registration/do-i-need-usdot-number</w:t>
      </w:r>
    </w:p>
    <w:p>
      <w:pPr>
        <w:pStyle w:val="Heading2"/>
        <w:spacing w:after="120" w:before="260"/>
      </w:pPr>
      <w:r>
        <w:t xml:space="preserve">Method</w:t>
      </w:r>
    </w:p>
    <w:p>
      <w:pPr>
        <w:spacing w:after="140"/>
      </w:pPr>
      <w:r>
        <w:t xml:space="preserve">The four threshold tests in section 2 are the 49 CFR 390.5 definition of a commercial motor vehicle, applied as independent tests. Section 6 uses the Part 383 group definitions, which sit at a higher weight rating than the 390.5 threshold — a vehicle can be a commercial motor vehicle whose driver needs no CDL. Section 7 uses the 49 CFR 395.1(e) parameters: a 150 air-mile radius and a 14-hour return to the reporting location.</w:t>
      </w:r>
    </w:p>
    <w:p>
      <w:pPr>
        <w:spacing w:after="140"/>
      </w:pPr>
      <w:r>
        <w:t xml:space="preserve">Companion guide: Do the DOT rules apply to my fleet? (/guides/dot-applicability/). Companion calculator: /tools/dot-applicability. Version 1.0, sources last reviewed 2026-07-01. Re-verify the cites above on the same schedule as the guide.</w:t>
      </w:r>
    </w:p>
    <w:p>
      <w:pPr>
        <w:pBdr>
          <w:top w:val="single" w:color="D0D7DC" w:sz="4"/>
        </w:pBdr>
        <w:spacing w:after="120" w:before="420"/>
      </w:pPr>
      <w:r>
        <w:t xml:space="preserve"/>
      </w:r>
    </w:p>
    <w:p>
      <w:pPr>
        <w:spacing w:after="40"/>
      </w:pPr>
      <w:r>
        <w:rPr>
          <w:color w:val="6B7280"/>
          <w:sz w:val="16"/>
          <w:szCs w:val="16"/>
        </w:rPr>
        <w:t xml:space="preserve">Published by Fleet Desk — https://fleetdesk.axionfleetai.com</w:t>
      </w:r>
    </w:p>
    <w:p>
      <w:pPr>
        <w:spacing w:after="40"/>
      </w:pPr>
      <w:r>
        <w:rPr>
          <w:color w:val="6B7280"/>
          <w:sz w:val="16"/>
          <w:szCs w:val="16"/>
        </w:rPr>
        <w:t xml:space="preserve">Free to use, adapt and distribute, including commercially. No attribution required.</w:t>
      </w:r>
    </w:p>
    <w:p>
      <w:pPr>
        <w:spacing w:after="40"/>
      </w:pPr>
      <w:r>
        <w:rPr>
          <w:color w:val="6B7280"/>
          <w:sz w:val="16"/>
          <w:szCs w:val="16"/>
        </w:rPr>
        <w:t xml:space="preserve">Sponsored by Axion (axionfleetai.com), which had no editorial control over this template.</w:t>
      </w:r>
    </w:p>
    <w:sectPr>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3414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before="280"/>
    </w:pPr>
    <w:rPr>
      <w:rFonts w:ascii="Calibri" w:cs="Calibri" w:eastAsia="Calibri" w:hAnsi="Calibri"/>
      <w:b/>
      <w:bCs/>
      <w:color w:val="23414B"/>
      <w:sz w:val="30"/>
      <w:szCs w:val="30"/>
    </w:rPr>
  </w:style>
  <w:style w:type="paragraph" w:styleId="Heading2">
    <w:name w:val="Heading 2"/>
    <w:basedOn w:val="Normal"/>
    <w:next w:val="Normal"/>
    <w:qFormat/>
    <w:pPr>
      <w:spacing w:after="100" w:before="220"/>
    </w:pPr>
    <w:rPr>
      <w:rFonts w:ascii="Calibri" w:cs="Calibri" w:eastAsia="Calibri" w:hAnsi="Calibri"/>
      <w:b/>
      <w:bCs/>
      <w:color w:val="23414B"/>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CMV applicability determination record</dc:title>
  <dc:creator>Fleet Desk</dc:creator>
  <dc:description>CMV applicability determination record — version 1.0</dc:description>
  <cp:lastModifiedBy>Un-named</cp:lastModifiedBy>
  <cp:revision>1</cp:revision>
  <dcterms:created xsi:type="dcterms:W3CDTF">2026-08-02T15:27:31.720Z</dcterms:created>
  <dcterms:modified xsi:type="dcterms:W3CDTF">2026-08-02T15:27:31.720Z</dcterms:modified>
</cp:coreProperties>
</file>

<file path=docProps/custom.xml><?xml version="1.0" encoding="utf-8"?>
<Properties xmlns="http://schemas.openxmlformats.org/officeDocument/2006/custom-properties" xmlns:vt="http://schemas.openxmlformats.org/officeDocument/2006/docPropsVTypes"/>
</file>