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120" w:before="260"/>
      </w:pPr>
      <w:r>
        <w:t xml:space="preserve">Cooperative purchase justification memorandum</w:t>
      </w:r>
    </w:p>
    <w:p>
      <w:pPr>
        <w:spacing w:after="140"/>
      </w:pPr>
      <w:r>
        <w:rPr>
          <w:b/>
          <w:bCs/>
          <w:color w:val="B4531A"/>
        </w:rPr>
        <w:t xml:space="preserve">[AGENCY NAME]</w:t>
      </w:r>
      <w:r>
        <w:t xml:space="preserve"> — </w:t>
      </w:r>
      <w:r>
        <w:rPr>
          <w:b/>
          <w:bCs/>
          <w:color w:val="B4531A"/>
        </w:rPr>
        <w:t xml:space="preserve">[DEPARTMENT]</w:t>
      </w:r>
      <w:r>
        <w:t xml:space="preserve">   |   Purchase order / requisition no. </w:t>
      </w:r>
      <w:r>
        <w:rPr>
          <w:b/>
          <w:bCs/>
          <w:color w:val="B4531A"/>
        </w:rPr>
        <w:t xml:space="preserve">[PO NUMBER]</w:t>
      </w:r>
    </w:p>
    <w:p>
      <w:pPr>
        <w:spacing w:after="140"/>
      </w:pPr>
      <w:r>
        <w:t xml:space="preserve">Fiscal year </w:t>
      </w:r>
      <w:r>
        <w:rPr>
          <w:b/>
          <w:bCs/>
          <w:color w:val="B4531A"/>
        </w:rPr>
        <w:t xml:space="preserve">[FISCAL YEAR]</w:t>
      </w:r>
      <w:r>
        <w:t xml:space="preserve">   |   Prepared by </w:t>
      </w:r>
      <w:r>
        <w:rPr>
          <w:b/>
          <w:bCs/>
          <w:color w:val="B4531A"/>
        </w:rPr>
        <w:t xml:space="preserve">[NAME, TITLE]</w:t>
      </w:r>
      <w:r>
        <w:t xml:space="preserve">   |   Date </w:t>
      </w:r>
      <w:r>
        <w:rPr>
          <w:b/>
          <w:bCs/>
          <w:color w:val="B4531A"/>
        </w:rPr>
        <w:t xml:space="preserve">[DATE]</w:t>
      </w:r>
    </w:p>
    <w:tbl>
      <w:tblPr>
        <w:tblW w:type="pct" w:w="100%"/>
        <w:tblBorders>
          <w:top w:val="single" w:color="B4531A" w:sz="6"/>
          <w:left w:val="single" w:color="B4531A" w:sz="6"/>
          <w:bottom w:val="single" w:color="B4531A" w:sz="6"/>
          <w:right w:val="single" w:color="B4531A" w:sz="6"/>
          <w:insideH w:val="none" w:color="FFFFFF" w:sz="0"/>
          <w:insideV w:val="none" w:color="FFFFFF" w:sz="0"/>
        </w:tblBorders>
      </w:tblPr>
      <w:tblGrid>
        <w:gridCol w:w="100"/>
      </w:tblGrid>
      <w:tr>
        <w:tc>
          <w:tcPr>
            <w:shd w:fill="FDF6EC" w:color="FDF6EC" w:val="solid"/>
            <w:tcMar>
              <w:top w:type="dxa" w:w="120"/>
              <w:left w:type="dxa" w:w="160"/>
              <w:bottom w:type="dxa" w:w="120"/>
              <w:right w:type="dxa" w:w="160"/>
            </w:tcMar>
          </w:tcPr>
          <w:p>
            <w:pPr>
              <w:spacing w:after="80"/>
            </w:pPr>
            <w:r>
              <w:rPr>
                <w:b/>
                <w:bCs/>
                <w:sz w:val="18"/>
                <w:szCs w:val="18"/>
              </w:rPr>
              <w:t xml:space="preserve">Delete this box before circulating.</w:t>
            </w:r>
          </w:p>
          <w:p>
            <w:pPr>
              <w:spacing w:after="50"/>
            </w:pPr>
            <w:r>
              <w:rPr>
                <w:sz w:val="18"/>
                <w:szCs w:val="18"/>
              </w:rPr>
              <w:t xml:space="preserve">This memo is the record of a decision, written while you still remember it. Assume an auditor reads it two years from now with no memory of the purchase and no patience.</w:t>
            </w:r>
          </w:p>
          <w:p>
            <w:pPr>
              <w:spacing w:after="50"/>
            </w:pPr>
            <w:r>
              <w:rPr>
                <w:sz w:val="18"/>
                <w:szCs w:val="18"/>
              </w:rPr>
              <w:t xml:space="preserve">One page is the target. Fill in every section; where a section does not apply, write "not applicable" and why, rather than leaving it blank — a blank line reads as an omission.</w:t>
            </w:r>
          </w:p>
          <w:p>
            <w:pPr>
              <w:spacing w:after="50"/>
            </w:pPr>
            <w:r>
              <w:rPr>
                <w:sz w:val="18"/>
                <w:szCs w:val="18"/>
              </w:rPr>
              <w:t xml:space="preserve">Sections 2 and 9 are the ones that carry the file. Section 2 is what an auditor checks first; section 9 is the sentence that makes this a determination rather than a receipt.</w:t>
            </w:r>
          </w:p>
          <w:p>
            <w:pPr>
              <w:spacing w:after="50"/>
            </w:pPr>
            <w:r>
              <w:rPr>
                <w:sz w:val="18"/>
                <w:szCs w:val="18"/>
              </w:rPr>
              <w:t xml:space="preserve">This template is procurement orientation, not legal advice. Cite your own ordinance and your own state statute, and have the person who confirmed the authority named in section 2.</w:t>
            </w:r>
          </w:p>
          <w:p>
            <w:pPr>
              <w:spacing w:after="50"/>
            </w:pPr>
            <w:r>
              <w:rPr>
                <w:sz w:val="18"/>
                <w:szCs w:val="18"/>
              </w:rPr>
              <w:t xml:space="preserve">File this with the purchase order, together with the attachments listed in section 10.</w:t>
            </w:r>
          </w:p>
        </w:tc>
      </w:tr>
    </w:tbl>
    <w:p>
      <w:pPr>
        <w:pStyle w:val="Heading2"/>
        <w:spacing w:after="120" w:before="260"/>
      </w:pPr>
      <w:r>
        <w:t xml:space="preserve">1. Purchase identified</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rPr>
          <w:tblHeader/>
        </w:trPr>
        <w:tc>
          <w:tcPr>
            <w:shd w:fill="EDF2F5" w:color="EDF2F5" w:val="solid"/>
            <w:tcMar>
              <w:top w:type="dxa" w:w="80"/>
              <w:left w:type="dxa" w:w="120"/>
              <w:bottom w:type="dxa" w:w="80"/>
              <w:right w:type="dxa" w:w="120"/>
            </w:tcMar>
          </w:tcPr>
          <w:p>
            <w:r>
              <w:rPr>
                <w:b/>
                <w:bCs/>
                <w:sz w:val="20"/>
                <w:szCs w:val="20"/>
              </w:rPr>
              <w:t xml:space="preserve">Item</w:t>
            </w:r>
          </w:p>
        </w:tc>
        <w:tc>
          <w:tcPr>
            <w:shd w:fill="EDF2F5" w:color="EDF2F5" w:val="solid"/>
            <w:tcMar>
              <w:top w:type="dxa" w:w="80"/>
              <w:left w:type="dxa" w:w="120"/>
              <w:bottom w:type="dxa" w:w="80"/>
              <w:right w:type="dxa" w:w="120"/>
            </w:tcMar>
          </w:tcPr>
          <w:p>
            <w:r>
              <w:rPr>
                <w:b/>
                <w:bCs/>
                <w:sz w:val="20"/>
                <w:szCs w:val="20"/>
              </w:rPr>
              <w:t xml:space="preserve">Detail</w:t>
            </w:r>
          </w:p>
        </w:tc>
      </w:tr>
      <w:tr>
        <w:trPr>
          <w:tblHeader w:val="false"/>
        </w:trPr>
        <w:tc>
          <w:tcPr>
            <w:tcMar>
              <w:top w:type="dxa" w:w="80"/>
              <w:left w:type="dxa" w:w="120"/>
              <w:bottom w:type="dxa" w:w="80"/>
              <w:right w:type="dxa" w:w="120"/>
            </w:tcMar>
          </w:tcPr>
          <w:p>
            <w:r>
              <w:rPr>
                <w:b w:val="false"/>
                <w:bCs w:val="false"/>
                <w:sz w:val="20"/>
                <w:szCs w:val="20"/>
              </w:rPr>
              <w:t xml:space="preserve">Description of goods or services</w:t>
            </w:r>
          </w:p>
        </w:tc>
        <w:tc>
          <w:tcPr>
            <w:tcMar>
              <w:top w:type="dxa" w:w="80"/>
              <w:left w:type="dxa" w:w="120"/>
              <w:bottom w:type="dxa" w:w="80"/>
              <w:right w:type="dxa" w:w="120"/>
            </w:tcMar>
          </w:tcPr>
          <w:p>
            <w:r>
              <w:rPr>
                <w:b/>
                <w:bCs/>
                <w:color w:val="B4531A"/>
                <w:sz w:val="20"/>
                <w:szCs w:val="20"/>
              </w:rPr>
              <w:t xml:space="preserve">[DESCRIBE — make, model, quantity, upfit]</w:t>
            </w:r>
          </w:p>
        </w:tc>
      </w:tr>
      <w:tr>
        <w:trPr>
          <w:tblHeader w:val="false"/>
        </w:trPr>
        <w:tc>
          <w:tcPr>
            <w:tcMar>
              <w:top w:type="dxa" w:w="80"/>
              <w:left w:type="dxa" w:w="120"/>
              <w:bottom w:type="dxa" w:w="80"/>
              <w:right w:type="dxa" w:w="120"/>
            </w:tcMar>
          </w:tcPr>
          <w:p>
            <w:r>
              <w:rPr>
                <w:b w:val="false"/>
                <w:bCs w:val="false"/>
                <w:sz w:val="20"/>
                <w:szCs w:val="20"/>
              </w:rPr>
              <w:t xml:space="preserve">Estimated value ($)</w:t>
            </w:r>
          </w:p>
        </w:tc>
        <w:tc>
          <w:tcPr>
            <w:tcMar>
              <w:top w:type="dxa" w:w="80"/>
              <w:left w:type="dxa" w:w="120"/>
              <w:bottom w:type="dxa" w:w="80"/>
              <w:right w:type="dxa" w:w="120"/>
            </w:tcMar>
          </w:tcPr>
          <w:p>
            <w:r>
              <w:rPr>
                <w:b/>
                <w:bCs/>
                <w:color w:val="B4531A"/>
                <w:sz w:val="20"/>
                <w:szCs w:val="20"/>
              </w:rPr>
              <w:t xml:space="preserve">[AMOUNT]</w:t>
            </w:r>
          </w:p>
        </w:tc>
      </w:tr>
      <w:tr>
        <w:trPr>
          <w:tblHeader w:val="false"/>
        </w:trPr>
        <w:tc>
          <w:tcPr>
            <w:tcMar>
              <w:top w:type="dxa" w:w="80"/>
              <w:left w:type="dxa" w:w="120"/>
              <w:bottom w:type="dxa" w:w="80"/>
              <w:right w:type="dxa" w:w="120"/>
            </w:tcMar>
          </w:tcPr>
          <w:p>
            <w:r>
              <w:rPr>
                <w:b w:val="false"/>
                <w:bCs w:val="false"/>
                <w:sz w:val="20"/>
                <w:szCs w:val="20"/>
              </w:rPr>
              <w:t xml:space="preserve">Funding source</w:t>
            </w:r>
          </w:p>
        </w:tc>
        <w:tc>
          <w:tcPr>
            <w:tcMar>
              <w:top w:type="dxa" w:w="80"/>
              <w:left w:type="dxa" w:w="120"/>
              <w:bottom w:type="dxa" w:w="80"/>
              <w:right w:type="dxa" w:w="120"/>
            </w:tcMar>
          </w:tcPr>
          <w:p>
            <w:r>
              <w:rPr>
                <w:b/>
                <w:bCs/>
                <w:color w:val="B4531A"/>
                <w:sz w:val="20"/>
                <w:szCs w:val="20"/>
              </w:rPr>
              <w:t xml:space="preserve">[FUND / GRANT NUMBER — state whether federal funds are involved]</w:t>
            </w:r>
          </w:p>
        </w:tc>
      </w:tr>
      <w:tr>
        <w:trPr>
          <w:tblHeader w:val="false"/>
        </w:trPr>
        <w:tc>
          <w:tcPr>
            <w:tcMar>
              <w:top w:type="dxa" w:w="80"/>
              <w:left w:type="dxa" w:w="120"/>
              <w:bottom w:type="dxa" w:w="80"/>
              <w:right w:type="dxa" w:w="120"/>
            </w:tcMar>
          </w:tcPr>
          <w:p>
            <w:r>
              <w:rPr>
                <w:b w:val="false"/>
                <w:bCs w:val="false"/>
                <w:sz w:val="20"/>
                <w:szCs w:val="20"/>
              </w:rPr>
              <w:t xml:space="preserve">Requesting department</w:t>
            </w:r>
          </w:p>
        </w:tc>
        <w:tc>
          <w:tcPr>
            <w:tcMar>
              <w:top w:type="dxa" w:w="80"/>
              <w:left w:type="dxa" w:w="120"/>
              <w:bottom w:type="dxa" w:w="80"/>
              <w:right w:type="dxa" w:w="120"/>
            </w:tcMar>
          </w:tcPr>
          <w:p>
            <w:r>
              <w:rPr>
                <w:b/>
                <w:bCs/>
                <w:color w:val="B4531A"/>
                <w:sz w:val="20"/>
                <w:szCs w:val="20"/>
              </w:rPr>
              <w:t xml:space="preserve">[DEPARTMENT]</w:t>
            </w:r>
          </w:p>
        </w:tc>
      </w:tr>
      <w:tr>
        <w:trPr>
          <w:tblHeader w:val="false"/>
        </w:trPr>
        <w:tc>
          <w:tcPr>
            <w:tcMar>
              <w:top w:type="dxa" w:w="80"/>
              <w:left w:type="dxa" w:w="120"/>
              <w:bottom w:type="dxa" w:w="80"/>
              <w:right w:type="dxa" w:w="120"/>
            </w:tcMar>
          </w:tcPr>
          <w:p>
            <w:r>
              <w:rPr>
                <w:b w:val="false"/>
                <w:bCs w:val="false"/>
                <w:sz w:val="20"/>
                <w:szCs w:val="20"/>
              </w:rPr>
              <w:t xml:space="preserve">Delivery or performance period</w:t>
            </w:r>
          </w:p>
        </w:tc>
        <w:tc>
          <w:tcPr>
            <w:tcMar>
              <w:top w:type="dxa" w:w="80"/>
              <w:left w:type="dxa" w:w="120"/>
              <w:bottom w:type="dxa" w:w="80"/>
              <w:right w:type="dxa" w:w="120"/>
            </w:tcMar>
          </w:tcPr>
          <w:p>
            <w:r>
              <w:rPr>
                <w:b/>
                <w:bCs/>
                <w:color w:val="B4531A"/>
                <w:sz w:val="20"/>
                <w:szCs w:val="20"/>
              </w:rPr>
              <w:t xml:space="preserve">[DATES]</w:t>
            </w:r>
          </w:p>
        </w:tc>
      </w:tr>
    </w:tbl>
    <w:p>
      <w:pPr>
        <w:spacing w:after="140"/>
      </w:pPr>
      <w:r>
        <w:rPr>
          <w:i/>
          <w:iCs/>
        </w:rPr>
        <w:t xml:space="preserve">If any federal funds are involved, say so here. 2 CFR § 200.318(e) settles the competition question and nothing else — the cost or price analysis at § 200.324, suspension and debarment checks, and any domestic-preference conditions all still apply, and section 7 of this memo is where the price analysis is recorded.</w:t>
      </w:r>
    </w:p>
    <w:p>
      <w:pPr>
        <w:pStyle w:val="Heading2"/>
        <w:spacing w:after="120" w:before="260"/>
      </w:pPr>
      <w:r>
        <w:t xml:space="preserve">2. Authority to use a cooperative contract</w:t>
      </w:r>
    </w:p>
    <w:tbl>
      <w:tblPr>
        <w:tblW w:type="pct" w:w="100%"/>
        <w:tblBorders>
          <w:top w:val="single" w:color="B4531A" w:sz="6"/>
          <w:left w:val="single" w:color="B4531A" w:sz="6"/>
          <w:bottom w:val="single" w:color="B4531A" w:sz="6"/>
          <w:right w:val="single" w:color="B4531A" w:sz="6"/>
          <w:insideH w:val="none" w:color="FFFFFF" w:sz="0"/>
          <w:insideV w:val="none" w:color="FFFFFF" w:sz="0"/>
        </w:tblBorders>
      </w:tblPr>
      <w:tblGrid>
        <w:gridCol w:w="100"/>
      </w:tblGrid>
      <w:tr>
        <w:tc>
          <w:tcPr>
            <w:shd w:fill="FDF6EC" w:color="FDF6EC" w:val="solid"/>
            <w:tcMar>
              <w:top w:type="dxa" w:w="120"/>
              <w:left w:type="dxa" w:w="160"/>
              <w:bottom w:type="dxa" w:w="120"/>
              <w:right w:type="dxa" w:w="160"/>
            </w:tcMar>
          </w:tcPr>
          <w:p>
            <w:pPr>
              <w:spacing w:after="80"/>
            </w:pPr>
            <w:r>
              <w:rPr>
                <w:b/>
                <w:bCs/>
                <w:sz w:val="18"/>
                <w:szCs w:val="18"/>
              </w:rPr>
              <w:t xml:space="preserve">Delete this box before circulating.</w:t>
            </w:r>
          </w:p>
          <w:p>
            <w:pPr>
              <w:spacing w:after="50"/>
            </w:pPr>
            <w:r>
              <w:rPr>
                <w:sz w:val="18"/>
                <w:szCs w:val="18"/>
              </w:rPr>
              <w:t xml:space="preserve">This is the section auditors check first. Cite by section number, not by name.</w:t>
            </w:r>
          </w:p>
          <w:p>
            <w:pPr>
              <w:spacing w:after="50"/>
            </w:pPr>
            <w:r>
              <w:rPr>
                <w:sz w:val="18"/>
                <w:szCs w:val="18"/>
              </w:rPr>
              <w:t xml:space="preserve">State exemptions are written more narrowly than they are remembered. Minnesota’s covers "supplies, materials, or equipment" — goods, not services — which matters before you invoke it for a software subscription, and above $25,000 it also requires the municipality to first consider the state’s own cooperative venture. Virginia permits piggybacking only if the original solicitation said it was conducted on behalf of other public bodies, and excludes A/E services and construction, as does New Jersey. Shop construction, fuel island installation and sometimes lift replacement land on the construction side of that line.</w:t>
            </w:r>
          </w:p>
          <w:p>
            <w:pPr>
              <w:spacing w:after="50"/>
            </w:pPr>
            <w:r>
              <w:rPr>
                <w:sz w:val="18"/>
                <w:szCs w:val="18"/>
              </w:rPr>
              <w:t xml:space="preserve">If your state layers on an extra condition — New Jersey requires a cost-savings determination before a local unit uses a national agreement, and above certain thresholds the purchase goes to the State Comptroller — record it here and attach the evidence.</w:t>
            </w:r>
          </w:p>
        </w:tc>
      </w:tr>
    </w:tbl>
    <w:p>
      <w:pPr>
        <w:spacing w:after="20" w:before="140"/>
      </w:pPr>
      <w:r>
        <w:rPr>
          <w:b/>
          <w:bCs/>
          <w:sz w:val="20"/>
          <w:szCs w:val="20"/>
        </w:rPr>
        <w:t xml:space="preserve">Local ordinance / purchasing policy provision relied upon (cite by section)</w:t>
      </w:r>
    </w:p>
    <w:p>
      <w:pPr>
        <w:pBdr>
          <w:bottom w:val="single" w:color="B8C2C8" w:sz="4"/>
        </w:pBdr>
        <w:spacing w:after="100"/>
      </w:pPr>
      <w:r>
        <w:t xml:space="preserve"/>
      </w:r>
    </w:p>
    <w:p>
      <w:pPr>
        <w:spacing w:after="20" w:before="140"/>
      </w:pPr>
      <w:r>
        <w:rPr>
          <w:b/>
          <w:bCs/>
          <w:sz w:val="20"/>
          <w:szCs w:val="20"/>
        </w:rPr>
        <w:t xml:space="preserve">State statute or regulation relied upon (cite by section)</w:t>
      </w:r>
    </w:p>
    <w:p>
      <w:pPr>
        <w:pBdr>
          <w:bottom w:val="single" w:color="B8C2C8" w:sz="4"/>
        </w:pBdr>
        <w:spacing w:after="100"/>
      </w:pPr>
      <w:r>
        <w:t xml:space="preserve"/>
      </w:r>
    </w:p>
    <w:p>
      <w:pPr>
        <w:spacing w:after="20" w:before="140"/>
      </w:pPr>
      <w:r>
        <w:rPr>
          <w:b/>
          <w:bCs/>
          <w:sz w:val="20"/>
          <w:szCs w:val="20"/>
        </w:rPr>
        <w:t xml:space="preserve">The specific clause permitting cooperative or joint purchasing, quoted or paraphrased</w:t>
      </w:r>
    </w:p>
    <w:p>
      <w:pPr>
        <w:pBdr>
          <w:bottom w:val="single" w:color="B8C2C8" w:sz="4"/>
        </w:pBdr>
        <w:spacing w:after="100"/>
      </w:pPr>
      <w:r>
        <w:t xml:space="preserve"/>
      </w:r>
    </w:p>
    <w:p>
      <w:pPr>
        <w:spacing w:after="20" w:before="140"/>
      </w:pPr>
      <w:r>
        <w:rPr>
          <w:b/>
          <w:bCs/>
          <w:sz w:val="20"/>
          <w:szCs w:val="20"/>
        </w:rPr>
        <w:t xml:space="preserve">Additional state condition, if any, and how it was satisfied</w:t>
      </w:r>
    </w:p>
    <w:p>
      <w:pPr>
        <w:pBdr>
          <w:bottom w:val="single" w:color="B8C2C8" w:sz="4"/>
        </w:pBdr>
        <w:spacing w:after="100"/>
      </w:pPr>
      <w:r>
        <w:t xml:space="preserve"/>
      </w:r>
    </w:p>
    <w:p>
      <w:pPr>
        <w:spacing w:after="20" w:before="140"/>
      </w:pPr>
      <w:r>
        <w:rPr>
          <w:b/>
          <w:bCs/>
          <w:sz w:val="20"/>
          <w:szCs w:val="20"/>
        </w:rPr>
        <w:t xml:space="preserve">Who confirmed this authority, and on what date</w:t>
      </w:r>
    </w:p>
    <w:p>
      <w:pPr>
        <w:pBdr>
          <w:bottom w:val="single" w:color="B8C2C8" w:sz="4"/>
        </w:pBdr>
        <w:spacing w:after="100"/>
      </w:pPr>
      <w:r>
        <w:t xml:space="preserve"/>
      </w:r>
    </w:p>
    <w:p>
      <w:pPr>
        <w:pStyle w:val="Heading2"/>
        <w:spacing w:after="120" w:before="260"/>
      </w:pPr>
      <w:r>
        <w:t xml:space="preserve">3. Contract identified</w:t>
      </w:r>
    </w:p>
    <w:p>
      <w:pPr>
        <w:spacing w:after="140"/>
      </w:pPr>
      <w:r>
        <w:t xml:space="preserve">Cooperative used:</w:t>
      </w:r>
    </w:p>
    <w:p>
      <w:pPr>
        <w:spacing w:after="80"/>
        <w:ind w:left="200"/>
      </w:pPr>
      <w:r>
        <w:t xml:space="preserve">☐  Sourcewell</w:t>
      </w:r>
    </w:p>
    <w:p>
      <w:pPr>
        <w:spacing w:after="80"/>
        <w:ind w:left="200"/>
      </w:pPr>
      <w:r>
        <w:t xml:space="preserve">☐  OMNIA Partners, Public Sector</w:t>
      </w:r>
    </w:p>
    <w:p>
      <w:pPr>
        <w:spacing w:after="80"/>
        <w:ind w:left="200"/>
      </w:pPr>
      <w:r>
        <w:t xml:space="preserve">☐  NASPO ValuePoint</w:t>
      </w:r>
    </w:p>
    <w:p>
      <w:pPr>
        <w:spacing w:after="80"/>
        <w:ind w:left="200"/>
      </w:pPr>
      <w:r>
        <w:t xml:space="preserve">☐  Other — name it: ______________________________</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rPr>
          <w:tblHeader/>
        </w:trPr>
        <w:tc>
          <w:tcPr>
            <w:shd w:fill="EDF2F5" w:color="EDF2F5" w:val="solid"/>
            <w:tcMar>
              <w:top w:type="dxa" w:w="80"/>
              <w:left w:type="dxa" w:w="120"/>
              <w:bottom w:type="dxa" w:w="80"/>
              <w:right w:type="dxa" w:w="120"/>
            </w:tcMar>
          </w:tcPr>
          <w:p>
            <w:r>
              <w:rPr>
                <w:b/>
                <w:bCs/>
                <w:sz w:val="20"/>
                <w:szCs w:val="20"/>
              </w:rPr>
              <w:t xml:space="preserve">Item</w:t>
            </w:r>
          </w:p>
        </w:tc>
        <w:tc>
          <w:tcPr>
            <w:shd w:fill="EDF2F5" w:color="EDF2F5" w:val="solid"/>
            <w:tcMar>
              <w:top w:type="dxa" w:w="80"/>
              <w:left w:type="dxa" w:w="120"/>
              <w:bottom w:type="dxa" w:w="80"/>
              <w:right w:type="dxa" w:w="120"/>
            </w:tcMar>
          </w:tcPr>
          <w:p>
            <w:r>
              <w:rPr>
                <w:b/>
                <w:bCs/>
                <w:sz w:val="20"/>
                <w:szCs w:val="20"/>
              </w:rPr>
              <w:t xml:space="preserve">Detail</w:t>
            </w:r>
          </w:p>
        </w:tc>
      </w:tr>
      <w:tr>
        <w:trPr>
          <w:tblHeader w:val="false"/>
        </w:trPr>
        <w:tc>
          <w:tcPr>
            <w:tcMar>
              <w:top w:type="dxa" w:w="80"/>
              <w:left w:type="dxa" w:w="120"/>
              <w:bottom w:type="dxa" w:w="80"/>
              <w:right w:type="dxa" w:w="120"/>
            </w:tcMar>
          </w:tcPr>
          <w:p>
            <w:r>
              <w:rPr>
                <w:b w:val="false"/>
                <w:bCs w:val="false"/>
                <w:sz w:val="20"/>
                <w:szCs w:val="20"/>
              </w:rPr>
              <w:t xml:space="preserve">Contract / master agreement number</w:t>
            </w:r>
          </w:p>
        </w:tc>
        <w:tc>
          <w:tcPr>
            <w:tcMar>
              <w:top w:type="dxa" w:w="80"/>
              <w:left w:type="dxa" w:w="120"/>
              <w:bottom w:type="dxa" w:w="80"/>
              <w:right w:type="dxa" w:w="120"/>
            </w:tcMar>
          </w:tcPr>
          <w:p>
            <w:r>
              <w:rPr>
                <w:b/>
                <w:bCs/>
                <w:color w:val="B4531A"/>
                <w:sz w:val="20"/>
                <w:szCs w:val="20"/>
              </w:rPr>
              <w:t xml:space="preserve">[NUMBER]</w:t>
            </w:r>
          </w:p>
        </w:tc>
      </w:tr>
      <w:tr>
        <w:trPr>
          <w:tblHeader w:val="false"/>
        </w:trPr>
        <w:tc>
          <w:tcPr>
            <w:tcMar>
              <w:top w:type="dxa" w:w="80"/>
              <w:left w:type="dxa" w:w="120"/>
              <w:bottom w:type="dxa" w:w="80"/>
              <w:right w:type="dxa" w:w="120"/>
            </w:tcMar>
          </w:tcPr>
          <w:p>
            <w:r>
              <w:rPr>
                <w:b w:val="false"/>
                <w:bCs w:val="false"/>
                <w:sz w:val="20"/>
                <w:szCs w:val="20"/>
              </w:rPr>
              <w:t xml:space="preserve">Awarded supplier</w:t>
            </w:r>
          </w:p>
        </w:tc>
        <w:tc>
          <w:tcPr>
            <w:tcMar>
              <w:top w:type="dxa" w:w="80"/>
              <w:left w:type="dxa" w:w="120"/>
              <w:bottom w:type="dxa" w:w="80"/>
              <w:right w:type="dxa" w:w="120"/>
            </w:tcMar>
          </w:tcPr>
          <w:p>
            <w:r>
              <w:rPr>
                <w:b/>
                <w:bCs/>
                <w:color w:val="B4531A"/>
                <w:sz w:val="20"/>
                <w:szCs w:val="20"/>
              </w:rPr>
              <w:t xml:space="preserve">[SUPPLIER]</w:t>
            </w:r>
          </w:p>
        </w:tc>
      </w:tr>
      <w:tr>
        <w:trPr>
          <w:tblHeader w:val="false"/>
        </w:trPr>
        <w:tc>
          <w:tcPr>
            <w:tcMar>
              <w:top w:type="dxa" w:w="80"/>
              <w:left w:type="dxa" w:w="120"/>
              <w:bottom w:type="dxa" w:w="80"/>
              <w:right w:type="dxa" w:w="120"/>
            </w:tcMar>
          </w:tcPr>
          <w:p>
            <w:r>
              <w:rPr>
                <w:b w:val="false"/>
                <w:bCs w:val="false"/>
                <w:sz w:val="20"/>
                <w:szCs w:val="20"/>
              </w:rPr>
              <w:t xml:space="preserve">Award date</w:t>
            </w:r>
          </w:p>
        </w:tc>
        <w:tc>
          <w:tcPr>
            <w:tcMar>
              <w:top w:type="dxa" w:w="80"/>
              <w:left w:type="dxa" w:w="120"/>
              <w:bottom w:type="dxa" w:w="80"/>
              <w:right w:type="dxa" w:w="120"/>
            </w:tcMar>
          </w:tcPr>
          <w:p>
            <w:r>
              <w:rPr>
                <w:b/>
                <w:bCs/>
                <w:color w:val="B4531A"/>
                <w:sz w:val="20"/>
                <w:szCs w:val="20"/>
              </w:rPr>
              <w:t xml:space="preserve">[DATE]</w:t>
            </w:r>
          </w:p>
        </w:tc>
      </w:tr>
      <w:tr>
        <w:trPr>
          <w:tblHeader w:val="false"/>
        </w:trPr>
        <w:tc>
          <w:tcPr>
            <w:tcMar>
              <w:top w:type="dxa" w:w="80"/>
              <w:left w:type="dxa" w:w="120"/>
              <w:bottom w:type="dxa" w:w="80"/>
              <w:right w:type="dxa" w:w="120"/>
            </w:tcMar>
          </w:tcPr>
          <w:p>
            <w:r>
              <w:rPr>
                <w:b w:val="false"/>
                <w:bCs w:val="false"/>
                <w:sz w:val="20"/>
                <w:szCs w:val="20"/>
              </w:rPr>
              <w:t xml:space="preserve">Expiry date (including exercised extensions)</w:t>
            </w:r>
          </w:p>
        </w:tc>
        <w:tc>
          <w:tcPr>
            <w:tcMar>
              <w:top w:type="dxa" w:w="80"/>
              <w:left w:type="dxa" w:w="120"/>
              <w:bottom w:type="dxa" w:w="80"/>
              <w:right w:type="dxa" w:w="120"/>
            </w:tcMar>
          </w:tcPr>
          <w:p>
            <w:r>
              <w:rPr>
                <w:b/>
                <w:bCs/>
                <w:color w:val="B4531A"/>
                <w:sz w:val="20"/>
                <w:szCs w:val="20"/>
              </w:rPr>
              <w:t xml:space="preserve">[DATE]</w:t>
            </w:r>
          </w:p>
        </w:tc>
      </w:tr>
      <w:tr>
        <w:trPr>
          <w:tblHeader w:val="false"/>
        </w:trPr>
        <w:tc>
          <w:tcPr>
            <w:tcMar>
              <w:top w:type="dxa" w:w="80"/>
              <w:left w:type="dxa" w:w="120"/>
              <w:bottom w:type="dxa" w:w="80"/>
              <w:right w:type="dxa" w:w="120"/>
            </w:tcMar>
          </w:tcPr>
          <w:p>
            <w:r>
              <w:rPr>
                <w:b w:val="false"/>
                <w:bCs w:val="false"/>
                <w:sz w:val="20"/>
                <w:szCs w:val="20"/>
              </w:rPr>
              <w:t xml:space="preserve">Ordering dealer or reseller, if not the awarded supplier</w:t>
            </w:r>
          </w:p>
        </w:tc>
        <w:tc>
          <w:tcPr>
            <w:tcMar>
              <w:top w:type="dxa" w:w="80"/>
              <w:left w:type="dxa" w:w="120"/>
              <w:bottom w:type="dxa" w:w="80"/>
              <w:right w:type="dxa" w:w="120"/>
            </w:tcMar>
          </w:tcPr>
          <w:p>
            <w:r>
              <w:rPr>
                <w:b/>
                <w:bCs/>
                <w:color w:val="B4531A"/>
                <w:sz w:val="20"/>
                <w:szCs w:val="20"/>
              </w:rPr>
              <w:t xml:space="preserve">[NAME]</w:t>
            </w:r>
          </w:p>
        </w:tc>
      </w:tr>
    </w:tbl>
    <w:p>
      <w:pPr>
        <w:spacing w:after="140"/>
      </w:pPr>
      <w:r>
        <w:t xml:space="preserve">Solicitation and award documents obtained and filed:</w:t>
      </w:r>
    </w:p>
    <w:p>
      <w:pPr>
        <w:spacing w:after="80"/>
        <w:ind w:left="200"/>
      </w:pPr>
      <w:r>
        <w:t xml:space="preserve">☐  The solicitation (RFP/ITB) itself, showing the cooperative language on its face</w:t>
      </w:r>
    </w:p>
    <w:p>
      <w:pPr>
        <w:spacing w:after="80"/>
        <w:ind w:left="200"/>
      </w:pPr>
      <w:r>
        <w:t xml:space="preserve">☐  The award document or notice of award</w:t>
      </w:r>
    </w:p>
    <w:p>
      <w:pPr>
        <w:spacing w:after="80"/>
        <w:ind w:left="200"/>
      </w:pPr>
      <w:r>
        <w:t xml:space="preserve">☐  The current price list or schedule the quoted price was taken from</w:t>
      </w:r>
    </w:p>
    <w:p>
      <w:pPr>
        <w:spacing w:after="80"/>
        <w:ind w:left="200"/>
      </w:pPr>
      <w:r>
        <w:t xml:space="preserve">☐  NASPO ValuePoint only — the state’s participating addendum, read to confirm that local governments and this agency are covered, and that any prior-approval condition has been met</w:t>
      </w:r>
    </w:p>
    <w:p>
      <w:pPr>
        <w:spacing w:after="140"/>
      </w:pPr>
      <w:r>
        <w:rPr>
          <w:i/>
          <w:iCs/>
        </w:rPr>
        <w:t xml:space="preserve">The master agreement alone gives you nothing on NASPO ValuePoint. The participating addendum defines who may purchase — sometimes state agencies only, sometimes political subdivisions with prior approval of the state chief procurement official. If a supplier calls a contract cooperative and cannot produce the solicitation language, it is not one.</w:t>
      </w:r>
    </w:p>
    <w:p>
      <w:pPr>
        <w:pStyle w:val="Heading2"/>
        <w:spacing w:after="120" w:before="260"/>
      </w:pPr>
      <w:r>
        <w:t xml:space="preserve">4. Eligibility confirmation</w:t>
      </w:r>
    </w:p>
    <w:p>
      <w:pPr>
        <w:spacing w:after="20" w:before="140"/>
      </w:pPr>
      <w:r>
        <w:rPr>
          <w:b/>
          <w:bCs/>
          <w:sz w:val="20"/>
          <w:szCs w:val="20"/>
        </w:rPr>
        <w:t xml:space="preserve">Participating entity / member registration status and number</w:t>
      </w:r>
    </w:p>
    <w:p>
      <w:pPr>
        <w:pBdr>
          <w:bottom w:val="single" w:color="B8C2C8" w:sz="4"/>
        </w:pBdr>
        <w:spacing w:after="100"/>
      </w:pPr>
      <w:r>
        <w:t xml:space="preserve"/>
      </w:r>
    </w:p>
    <w:p>
      <w:pPr>
        <w:spacing w:after="20" w:before="140"/>
      </w:pPr>
      <w:r>
        <w:rPr>
          <w:b/>
          <w:bCs/>
          <w:sz w:val="20"/>
          <w:szCs w:val="20"/>
        </w:rPr>
        <w:t xml:space="preserve">Date registered or last confirmed, and by whom</w:t>
      </w:r>
    </w:p>
    <w:p>
      <w:pPr>
        <w:pBdr>
          <w:bottom w:val="single" w:color="B8C2C8" w:sz="4"/>
        </w:pBdr>
        <w:spacing w:after="100"/>
      </w:pPr>
      <w:r>
        <w:t xml:space="preserve"/>
      </w:r>
    </w:p>
    <w:p>
      <w:pPr>
        <w:spacing w:after="20" w:before="140"/>
      </w:pPr>
      <w:r>
        <w:rPr>
          <w:b/>
          <w:bCs/>
          <w:sz w:val="20"/>
          <w:szCs w:val="20"/>
        </w:rPr>
        <w:t xml:space="preserve">For NASPO ValuePoint — participating addendum reference and its participation clause</w:t>
      </w:r>
    </w:p>
    <w:p>
      <w:pPr>
        <w:pBdr>
          <w:bottom w:val="single" w:color="B8C2C8" w:sz="4"/>
        </w:pBdr>
        <w:spacing w:after="100"/>
      </w:pPr>
      <w:r>
        <w:t xml:space="preserve"/>
      </w:r>
    </w:p>
    <w:p>
      <w:pPr>
        <w:pStyle w:val="Heading2"/>
        <w:spacing w:after="120" w:before="260"/>
      </w:pPr>
      <w:r>
        <w:t xml:space="preserve">5. Competitive process relied upon</w:t>
      </w:r>
    </w:p>
    <w:p>
      <w:pPr>
        <w:spacing w:after="140"/>
      </w:pPr>
      <w:r>
        <w:t xml:space="preserve">The argument for this purchase is that the competition already happened, somewhere else, on your behalf. Record whose competition it was.</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rPr>
          <w:tblHeader/>
        </w:trPr>
        <w:tc>
          <w:tcPr>
            <w:shd w:fill="EDF2F5" w:color="EDF2F5" w:val="solid"/>
            <w:tcMar>
              <w:top w:type="dxa" w:w="80"/>
              <w:left w:type="dxa" w:w="120"/>
              <w:bottom w:type="dxa" w:w="80"/>
              <w:right w:type="dxa" w:w="120"/>
            </w:tcMar>
          </w:tcPr>
          <w:p>
            <w:r>
              <w:rPr>
                <w:b/>
                <w:bCs/>
                <w:sz w:val="20"/>
                <w:szCs w:val="20"/>
              </w:rPr>
              <w:t xml:space="preserve">Item</w:t>
            </w:r>
          </w:p>
        </w:tc>
        <w:tc>
          <w:tcPr>
            <w:shd w:fill="EDF2F5" w:color="EDF2F5" w:val="solid"/>
            <w:tcMar>
              <w:top w:type="dxa" w:w="80"/>
              <w:left w:type="dxa" w:w="120"/>
              <w:bottom w:type="dxa" w:w="80"/>
              <w:right w:type="dxa" w:w="120"/>
            </w:tcMar>
          </w:tcPr>
          <w:p>
            <w:r>
              <w:rPr>
                <w:b/>
                <w:bCs/>
                <w:sz w:val="20"/>
                <w:szCs w:val="20"/>
              </w:rPr>
              <w:t xml:space="preserve">Detail</w:t>
            </w:r>
          </w:p>
        </w:tc>
      </w:tr>
      <w:tr>
        <w:trPr>
          <w:tblHeader w:val="false"/>
        </w:trPr>
        <w:tc>
          <w:tcPr>
            <w:tcMar>
              <w:top w:type="dxa" w:w="80"/>
              <w:left w:type="dxa" w:w="120"/>
              <w:bottom w:type="dxa" w:w="80"/>
              <w:right w:type="dxa" w:w="120"/>
            </w:tcMar>
          </w:tcPr>
          <w:p>
            <w:r>
              <w:rPr>
                <w:b w:val="false"/>
                <w:bCs w:val="false"/>
                <w:sz w:val="20"/>
                <w:szCs w:val="20"/>
              </w:rPr>
              <w:t xml:space="preserve">Lead agency or cooperative that solicited the contract</w:t>
            </w:r>
          </w:p>
        </w:tc>
        <w:tc>
          <w:tcPr>
            <w:tcMar>
              <w:top w:type="dxa" w:w="80"/>
              <w:left w:type="dxa" w:w="120"/>
              <w:bottom w:type="dxa" w:w="80"/>
              <w:right w:type="dxa" w:w="120"/>
            </w:tcMar>
          </w:tcPr>
          <w:p>
            <w:r>
              <w:rPr>
                <w:b/>
                <w:bCs/>
                <w:color w:val="B4531A"/>
                <w:sz w:val="20"/>
                <w:szCs w:val="20"/>
              </w:rPr>
              <w:t xml:space="preserve">[NAME]</w:t>
            </w:r>
          </w:p>
        </w:tc>
      </w:tr>
      <w:tr>
        <w:trPr>
          <w:tblHeader w:val="false"/>
        </w:trPr>
        <w:tc>
          <w:tcPr>
            <w:tcMar>
              <w:top w:type="dxa" w:w="80"/>
              <w:left w:type="dxa" w:w="120"/>
              <w:bottom w:type="dxa" w:w="80"/>
              <w:right w:type="dxa" w:w="120"/>
            </w:tcMar>
          </w:tcPr>
          <w:p>
            <w:r>
              <w:rPr>
                <w:b w:val="false"/>
                <w:bCs w:val="false"/>
                <w:sz w:val="20"/>
                <w:szCs w:val="20"/>
              </w:rPr>
              <w:t xml:space="preserve">Solicitation method</w:t>
            </w:r>
          </w:p>
        </w:tc>
        <w:tc>
          <w:tcPr>
            <w:tcMar>
              <w:top w:type="dxa" w:w="80"/>
              <w:left w:type="dxa" w:w="120"/>
              <w:bottom w:type="dxa" w:w="80"/>
              <w:right w:type="dxa" w:w="120"/>
            </w:tcMar>
          </w:tcPr>
          <w:p>
            <w:r>
              <w:rPr>
                <w:b/>
                <w:bCs/>
                <w:color w:val="B4531A"/>
                <w:sz w:val="20"/>
                <w:szCs w:val="20"/>
              </w:rPr>
              <w:t xml:space="preserve">[RFP / ITB / other]</w:t>
            </w:r>
          </w:p>
        </w:tc>
      </w:tr>
      <w:tr>
        <w:trPr>
          <w:tblHeader w:val="false"/>
        </w:trPr>
        <w:tc>
          <w:tcPr>
            <w:tcMar>
              <w:top w:type="dxa" w:w="80"/>
              <w:left w:type="dxa" w:w="120"/>
              <w:bottom w:type="dxa" w:w="80"/>
              <w:right w:type="dxa" w:w="120"/>
            </w:tcMar>
          </w:tcPr>
          <w:p>
            <w:r>
              <w:rPr>
                <w:b w:val="false"/>
                <w:bCs w:val="false"/>
                <w:sz w:val="20"/>
                <w:szCs w:val="20"/>
              </w:rPr>
              <w:t xml:space="preserve">Solicitation number and issue date</w:t>
            </w:r>
          </w:p>
        </w:tc>
        <w:tc>
          <w:tcPr>
            <w:tcMar>
              <w:top w:type="dxa" w:w="80"/>
              <w:left w:type="dxa" w:w="120"/>
              <w:bottom w:type="dxa" w:w="80"/>
              <w:right w:type="dxa" w:w="120"/>
            </w:tcMar>
          </w:tcPr>
          <w:p>
            <w:r>
              <w:rPr>
                <w:b/>
                <w:bCs/>
                <w:color w:val="B4531A"/>
                <w:sz w:val="20"/>
                <w:szCs w:val="20"/>
              </w:rPr>
              <w:t xml:space="preserve">[NUMBER, DATE]</w:t>
            </w:r>
          </w:p>
        </w:tc>
      </w:tr>
      <w:tr>
        <w:trPr>
          <w:tblHeader w:val="false"/>
        </w:trPr>
        <w:tc>
          <w:tcPr>
            <w:tcMar>
              <w:top w:type="dxa" w:w="80"/>
              <w:left w:type="dxa" w:w="120"/>
              <w:bottom w:type="dxa" w:w="80"/>
              <w:right w:type="dxa" w:w="120"/>
            </w:tcMar>
          </w:tcPr>
          <w:p>
            <w:r>
              <w:rPr>
                <w:b w:val="false"/>
                <w:bCs w:val="false"/>
                <w:sz w:val="20"/>
                <w:szCs w:val="20"/>
              </w:rPr>
              <w:t xml:space="preserve">Number of responses received</w:t>
            </w:r>
          </w:p>
        </w:tc>
        <w:tc>
          <w:tcPr>
            <w:tcMar>
              <w:top w:type="dxa" w:w="80"/>
              <w:left w:type="dxa" w:w="120"/>
              <w:bottom w:type="dxa" w:w="80"/>
              <w:right w:type="dxa" w:w="120"/>
            </w:tcMar>
          </w:tcPr>
          <w:p>
            <w:r>
              <w:rPr>
                <w:b/>
                <w:bCs/>
                <w:color w:val="B4531A"/>
                <w:sz w:val="20"/>
                <w:szCs w:val="20"/>
              </w:rPr>
              <w:t xml:space="preserve">[COUNT]</w:t>
            </w:r>
          </w:p>
        </w:tc>
      </w:tr>
      <w:tr>
        <w:trPr>
          <w:tblHeader w:val="false"/>
        </w:trPr>
        <w:tc>
          <w:tcPr>
            <w:tcMar>
              <w:top w:type="dxa" w:w="80"/>
              <w:left w:type="dxa" w:w="120"/>
              <w:bottom w:type="dxa" w:w="80"/>
              <w:right w:type="dxa" w:w="120"/>
            </w:tcMar>
          </w:tcPr>
          <w:p>
            <w:r>
              <w:rPr>
                <w:b w:val="false"/>
                <w:bCs w:val="false"/>
                <w:sz w:val="20"/>
                <w:szCs w:val="20"/>
              </w:rPr>
              <w:t xml:space="preserve">Basis of award</w:t>
            </w:r>
          </w:p>
        </w:tc>
        <w:tc>
          <w:tcPr>
            <w:tcMar>
              <w:top w:type="dxa" w:w="80"/>
              <w:left w:type="dxa" w:w="120"/>
              <w:bottom w:type="dxa" w:w="80"/>
              <w:right w:type="dxa" w:w="120"/>
            </w:tcMar>
          </w:tcPr>
          <w:p>
            <w:r>
              <w:rPr>
                <w:b/>
                <w:bCs/>
                <w:color w:val="B4531A"/>
                <w:sz w:val="20"/>
                <w:szCs w:val="20"/>
              </w:rPr>
              <w:t xml:space="preserve">[LOW BID / BEST VALUE — as stated in the award]</w:t>
            </w:r>
          </w:p>
        </w:tc>
      </w:tr>
      <w:tr>
        <w:trPr>
          <w:tblHeader w:val="false"/>
        </w:trPr>
        <w:tc>
          <w:tcPr>
            <w:tcMar>
              <w:top w:type="dxa" w:w="80"/>
              <w:left w:type="dxa" w:w="120"/>
              <w:bottom w:type="dxa" w:w="80"/>
              <w:right w:type="dxa" w:w="120"/>
            </w:tcMar>
          </w:tcPr>
          <w:p>
            <w:r>
              <w:rPr>
                <w:b w:val="false"/>
                <w:bCs w:val="false"/>
                <w:sz w:val="20"/>
                <w:szCs w:val="20"/>
              </w:rPr>
              <w:t xml:space="preserve">Where the award documentation is filed</w:t>
            </w:r>
          </w:p>
        </w:tc>
        <w:tc>
          <w:tcPr>
            <w:tcMar>
              <w:top w:type="dxa" w:w="80"/>
              <w:left w:type="dxa" w:w="120"/>
              <w:bottom w:type="dxa" w:w="80"/>
              <w:right w:type="dxa" w:w="120"/>
            </w:tcMar>
          </w:tcPr>
          <w:p>
            <w:r>
              <w:rPr>
                <w:b/>
                <w:bCs/>
                <w:color w:val="B4531A"/>
                <w:sz w:val="20"/>
                <w:szCs w:val="20"/>
              </w:rPr>
              <w:t xml:space="preserve">[FILE LOCATION]</w:t>
            </w:r>
          </w:p>
        </w:tc>
      </w:tr>
    </w:tbl>
    <w:p>
      <w:pPr>
        <w:pStyle w:val="Heading2"/>
        <w:spacing w:after="120" w:before="260"/>
      </w:pPr>
      <w:r>
        <w:t xml:space="preserve">6. Administrative fee disclosure</w:t>
      </w:r>
    </w:p>
    <w:p>
      <w:pPr>
        <w:spacing w:after="20" w:before="140"/>
      </w:pPr>
      <w:r>
        <w:rPr>
          <w:b/>
          <w:bCs/>
          <w:sz w:val="20"/>
          <w:szCs w:val="20"/>
        </w:rPr>
        <w:t xml:space="preserve">Administrative fee on this contract (%), and where that figure is stated</w:t>
      </w:r>
    </w:p>
    <w:p>
      <w:pPr>
        <w:pBdr>
          <w:bottom w:val="single" w:color="B8C2C8" w:sz="4"/>
        </w:pBdr>
        <w:spacing w:after="100"/>
      </w:pPr>
      <w:r>
        <w:t xml:space="preserve"/>
      </w:r>
    </w:p>
    <w:p>
      <w:pPr>
        <w:spacing w:after="20" w:before="140"/>
      </w:pPr>
      <w:r>
        <w:rPr>
          <w:b/>
          <w:bCs/>
          <w:sz w:val="20"/>
          <w:szCs w:val="20"/>
        </w:rPr>
        <w:t xml:space="preserve">Any additional state-imposed fee, and whether the supplier may recover it in price</w:t>
      </w:r>
    </w:p>
    <w:p>
      <w:pPr>
        <w:pBdr>
          <w:bottom w:val="single" w:color="B8C2C8" w:sz="4"/>
        </w:pBdr>
        <w:spacing w:after="100"/>
      </w:pPr>
      <w:r>
        <w:t xml:space="preserve"/>
      </w:r>
    </w:p>
    <w:p>
      <w:pPr>
        <w:spacing w:after="20" w:before="140"/>
      </w:pPr>
      <w:r>
        <w:rPr>
          <w:b/>
          <w:bCs/>
          <w:sz w:val="20"/>
          <w:szCs w:val="20"/>
        </w:rPr>
        <w:t xml:space="preserve">Who remits the fee</w:t>
      </w:r>
    </w:p>
    <w:p>
      <w:pPr>
        <w:pBdr>
          <w:bottom w:val="single" w:color="B8C2C8" w:sz="4"/>
        </w:pBdr>
        <w:spacing w:after="100"/>
      </w:pPr>
      <w:r>
        <w:t xml:space="preserve"/>
      </w:r>
    </w:p>
    <w:p>
      <w:pPr>
        <w:spacing w:after="140"/>
      </w:pPr>
      <w:r>
        <w:t xml:space="preserve">Written acknowledgement, in the buyer’s own words: the fee is a real component of the price even though no invoice for it reaches this agency. NASPO ValuePoint publishes 0.25%, paid quarterly and required to be built into submitted pricing. Sourcewell negotiates it award by award, so there is no published rate and its program document bars a supplier from charging a participating entity more than the contracted price to offset it. OMNIA Partners takes the figure from the lead agency’s solicitation — 3% in the Region 4 ESC example. A quarter-point and three points are not the same fact. Whether a supplier may raise in-state pricing to cover an extra state-imposed fee is the next clause down, 5.2.2, and agreements carrying identical 5.2.1 language answer it in opposite directions — read the one in front of you before you complete the second line above.</w:t>
      </w:r>
    </w:p>
    <w:p>
      <w:pPr>
        <w:pBdr>
          <w:bottom w:val="single" w:color="B8C2C8" w:sz="4"/>
        </w:pBdr>
        <w:spacing w:after="60" w:before="180"/>
      </w:pPr>
      <w:r>
        <w:t xml:space="preserve"/>
      </w:r>
    </w:p>
    <w:p>
      <w:pPr>
        <w:pBdr>
          <w:bottom w:val="single" w:color="B8C2C8" w:sz="4"/>
        </w:pBdr>
        <w:spacing w:after="60" w:before="180"/>
      </w:pPr>
      <w:r>
        <w:t xml:space="preserve"/>
      </w:r>
    </w:p>
    <w:p>
      <w:pPr>
        <w:pStyle w:val="Heading2"/>
        <w:spacing w:after="120" w:before="260"/>
      </w:pPr>
      <w:r>
        <w:t xml:space="preserve">7. Price reasonableness</w:t>
      </w:r>
    </w:p>
    <w:tbl>
      <w:tblPr>
        <w:tblW w:type="pct" w:w="100%"/>
        <w:tblBorders>
          <w:top w:val="single" w:color="B4531A" w:sz="6"/>
          <w:left w:val="single" w:color="B4531A" w:sz="6"/>
          <w:bottom w:val="single" w:color="B4531A" w:sz="6"/>
          <w:right w:val="single" w:color="B4531A" w:sz="6"/>
          <w:insideH w:val="none" w:color="FFFFFF" w:sz="0"/>
          <w:insideV w:val="none" w:color="FFFFFF" w:sz="0"/>
        </w:tblBorders>
      </w:tblPr>
      <w:tblGrid>
        <w:gridCol w:w="100"/>
      </w:tblGrid>
      <w:tr>
        <w:tc>
          <w:tcPr>
            <w:shd w:fill="FDF6EC" w:color="FDF6EC" w:val="solid"/>
            <w:tcMar>
              <w:top w:type="dxa" w:w="120"/>
              <w:left w:type="dxa" w:w="160"/>
              <w:bottom w:type="dxa" w:w="120"/>
              <w:right w:type="dxa" w:w="160"/>
            </w:tcMar>
          </w:tcPr>
          <w:p>
            <w:pPr>
              <w:spacing w:after="80"/>
            </w:pPr>
            <w:r>
              <w:rPr>
                <w:b/>
                <w:bCs/>
                <w:sz w:val="18"/>
                <w:szCs w:val="18"/>
              </w:rPr>
              <w:t xml:space="preserve">Delete this box before circulating.</w:t>
            </w:r>
          </w:p>
          <w:p>
            <w:pPr>
              <w:spacing w:after="50"/>
            </w:pPr>
            <w:r>
              <w:rPr>
                <w:sz w:val="18"/>
                <w:szCs w:val="18"/>
              </w:rPr>
              <w:t xml:space="preserve">This is the section that makes the memo defensible rather than a formality, and on federally funded transactions above the simplified acquisition threshold it is also the § 200.324 cost or price analysis. Make your independent estimate before you receive proposals.</w:t>
            </w:r>
          </w:p>
          <w:p>
            <w:pPr>
              <w:spacing w:after="50"/>
            </w:pPr>
            <w:r>
              <w:rPr>
                <w:sz w:val="18"/>
                <w:szCs w:val="18"/>
              </w:rPr>
              <w:t xml:space="preserve">A cooperative price is a ceiling, not a floor. A regional dealer competing for a five-truck order can beat a national percentage-off-list, so on chassis run a quick quote comparison first.</w:t>
            </w:r>
          </w:p>
        </w:tc>
      </w:tr>
    </w:tbl>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tblGrid>
      <w:tr>
        <w:trPr>
          <w:tblHeader/>
        </w:trPr>
        <w:tc>
          <w:tcPr>
            <w:shd w:fill="EDF2F5" w:color="EDF2F5" w:val="solid"/>
            <w:tcMar>
              <w:top w:type="dxa" w:w="80"/>
              <w:left w:type="dxa" w:w="120"/>
              <w:bottom w:type="dxa" w:w="80"/>
              <w:right w:type="dxa" w:w="120"/>
            </w:tcMar>
          </w:tcPr>
          <w:p>
            <w:r>
              <w:rPr>
                <w:b/>
                <w:bCs/>
                <w:sz w:val="20"/>
                <w:szCs w:val="20"/>
              </w:rPr>
              <w:t xml:space="preserve">How price was tested</w:t>
            </w:r>
          </w:p>
        </w:tc>
        <w:tc>
          <w:tcPr>
            <w:shd w:fill="EDF2F5" w:color="EDF2F5" w:val="solid"/>
            <w:tcMar>
              <w:top w:type="dxa" w:w="80"/>
              <w:left w:type="dxa" w:w="120"/>
              <w:bottom w:type="dxa" w:w="80"/>
              <w:right w:type="dxa" w:w="120"/>
            </w:tcMar>
          </w:tcPr>
          <w:p>
            <w:r>
              <w:rPr>
                <w:b/>
                <w:bCs/>
                <w:sz w:val="20"/>
                <w:szCs w:val="20"/>
              </w:rPr>
              <w:t xml:space="preserve">Result / figure</w:t>
            </w:r>
          </w:p>
        </w:tc>
        <w:tc>
          <w:tcPr>
            <w:shd w:fill="EDF2F5" w:color="EDF2F5" w:val="solid"/>
            <w:tcMar>
              <w:top w:type="dxa" w:w="80"/>
              <w:left w:type="dxa" w:w="120"/>
              <w:bottom w:type="dxa" w:w="80"/>
              <w:right w:type="dxa" w:w="120"/>
            </w:tcMar>
          </w:tcPr>
          <w:p>
            <w:r>
              <w:rPr>
                <w:b/>
                <w:bCs/>
                <w:sz w:val="20"/>
                <w:szCs w:val="20"/>
              </w:rPr>
              <w:t xml:space="preserve">Source of the figure</w:t>
            </w:r>
          </w:p>
        </w:tc>
      </w:tr>
      <w:tr>
        <w:trPr>
          <w:tblHeader w:val="false"/>
        </w:trPr>
        <w:tc>
          <w:tcPr>
            <w:tcMar>
              <w:top w:type="dxa" w:w="80"/>
              <w:left w:type="dxa" w:w="120"/>
              <w:bottom w:type="dxa" w:w="80"/>
              <w:right w:type="dxa" w:w="120"/>
            </w:tcMar>
          </w:tcPr>
          <w:p>
            <w:r>
              <w:rPr>
                <w:b w:val="false"/>
                <w:bCs w:val="false"/>
                <w:sz w:val="20"/>
                <w:szCs w:val="20"/>
              </w:rPr>
              <w:t xml:space="preserve">Independent quotes obtained (how many, from whom)</w:t>
            </w:r>
          </w:p>
        </w:tc>
        <w:tc>
          <w:tcPr>
            <w:tcMar>
              <w:top w:type="dxa" w:w="80"/>
              <w:left w:type="dxa" w:w="120"/>
              <w:bottom w:type="dxa" w:w="80"/>
              <w:right w:type="dxa" w:w="120"/>
            </w:tcMar>
          </w:tcPr>
          <w:p>
            <w:r>
              <w:rPr>
                <w:b/>
                <w:bCs/>
                <w:color w:val="B4531A"/>
                <w:sz w:val="20"/>
                <w:szCs w:val="20"/>
              </w:rPr>
              <w:t xml:space="preserve">[AMOUNT]</w:t>
            </w:r>
          </w:p>
        </w:tc>
        <w:tc>
          <w:tcPr>
            <w:tcMar>
              <w:top w:type="dxa" w:w="80"/>
              <w:left w:type="dxa" w:w="120"/>
              <w:bottom w:type="dxa" w:w="80"/>
              <w:right w:type="dxa" w:w="120"/>
            </w:tcMar>
          </w:tcPr>
          <w:p>
            <w:r>
              <w:rPr>
                <w:b/>
                <w:bCs/>
                <w:color w:val="B4531A"/>
                <w:sz w:val="20"/>
                <w:szCs w:val="20"/>
              </w:rPr>
              <w:t xml:space="preserve">[QUOTE, DATE]</w:t>
            </w:r>
          </w:p>
        </w:tc>
      </w:tr>
      <w:tr>
        <w:trPr>
          <w:tblHeader w:val="false"/>
        </w:trPr>
        <w:tc>
          <w:tcPr>
            <w:tcMar>
              <w:top w:type="dxa" w:w="80"/>
              <w:left w:type="dxa" w:w="120"/>
              <w:bottom w:type="dxa" w:w="80"/>
              <w:right w:type="dxa" w:w="120"/>
            </w:tcMar>
          </w:tcPr>
          <w:p>
            <w:r>
              <w:rPr>
                <w:b w:val="false"/>
                <w:bCs w:val="false"/>
                <w:sz w:val="20"/>
                <w:szCs w:val="20"/>
              </w:rPr>
              <w:t xml:space="preserve">Prior purchase history for comparable units</w:t>
            </w:r>
          </w:p>
        </w:tc>
        <w:tc>
          <w:tcPr>
            <w:tcMar>
              <w:top w:type="dxa" w:w="80"/>
              <w:left w:type="dxa" w:w="120"/>
              <w:bottom w:type="dxa" w:w="80"/>
              <w:right w:type="dxa" w:w="120"/>
            </w:tcMar>
          </w:tcPr>
          <w:p>
            <w:r>
              <w:rPr>
                <w:b/>
                <w:bCs/>
                <w:color w:val="B4531A"/>
                <w:sz w:val="20"/>
                <w:szCs w:val="20"/>
              </w:rPr>
              <w:t xml:space="preserve">[AMOUNT]</w:t>
            </w:r>
          </w:p>
        </w:tc>
        <w:tc>
          <w:tcPr>
            <w:tcMar>
              <w:top w:type="dxa" w:w="80"/>
              <w:left w:type="dxa" w:w="120"/>
              <w:bottom w:type="dxa" w:w="80"/>
              <w:right w:type="dxa" w:w="120"/>
            </w:tcMar>
          </w:tcPr>
          <w:p>
            <w:r>
              <w:rPr>
                <w:b/>
                <w:bCs/>
                <w:color w:val="B4531A"/>
                <w:sz w:val="20"/>
                <w:szCs w:val="20"/>
              </w:rPr>
              <w:t xml:space="preserve">[PO NUMBER, DATE]</w:t>
            </w:r>
          </w:p>
        </w:tc>
      </w:tr>
      <w:tr>
        <w:trPr>
          <w:tblHeader w:val="false"/>
        </w:trPr>
        <w:tc>
          <w:tcPr>
            <w:tcMar>
              <w:top w:type="dxa" w:w="80"/>
              <w:left w:type="dxa" w:w="120"/>
              <w:bottom w:type="dxa" w:w="80"/>
              <w:right w:type="dxa" w:w="120"/>
            </w:tcMar>
          </w:tcPr>
          <w:p>
            <w:r>
              <w:rPr>
                <w:b w:val="false"/>
                <w:bCs w:val="false"/>
                <w:sz w:val="20"/>
                <w:szCs w:val="20"/>
              </w:rPr>
              <w:t xml:space="preserve">Published price list or schedule comparison</w:t>
            </w:r>
          </w:p>
        </w:tc>
        <w:tc>
          <w:tcPr>
            <w:tcMar>
              <w:top w:type="dxa" w:w="80"/>
              <w:left w:type="dxa" w:w="120"/>
              <w:bottom w:type="dxa" w:w="80"/>
              <w:right w:type="dxa" w:w="120"/>
            </w:tcMar>
          </w:tcPr>
          <w:p>
            <w:r>
              <w:rPr>
                <w:b/>
                <w:bCs/>
                <w:color w:val="B4531A"/>
                <w:sz w:val="20"/>
                <w:szCs w:val="20"/>
              </w:rPr>
              <w:t xml:space="preserve">[AMOUNT]</w:t>
            </w:r>
          </w:p>
        </w:tc>
        <w:tc>
          <w:tcPr>
            <w:tcMar>
              <w:top w:type="dxa" w:w="80"/>
              <w:left w:type="dxa" w:w="120"/>
              <w:bottom w:type="dxa" w:w="80"/>
              <w:right w:type="dxa" w:w="120"/>
            </w:tcMar>
          </w:tcPr>
          <w:p>
            <w:r>
              <w:rPr>
                <w:b/>
                <w:bCs/>
                <w:color w:val="B4531A"/>
                <w:sz w:val="20"/>
                <w:szCs w:val="20"/>
              </w:rPr>
              <w:t xml:space="preserve">[LIST, DATE]</w:t>
            </w:r>
          </w:p>
        </w:tc>
      </w:tr>
      <w:tr>
        <w:trPr>
          <w:tblHeader w:val="false"/>
        </w:trPr>
        <w:tc>
          <w:tcPr>
            <w:tcMar>
              <w:top w:type="dxa" w:w="80"/>
              <w:left w:type="dxa" w:w="120"/>
              <w:bottom w:type="dxa" w:w="80"/>
              <w:right w:type="dxa" w:w="120"/>
            </w:tcMar>
          </w:tcPr>
          <w:p>
            <w:r>
              <w:rPr>
                <w:b w:val="false"/>
                <w:bCs w:val="false"/>
                <w:sz w:val="20"/>
                <w:szCs w:val="20"/>
              </w:rPr>
              <w:t xml:space="preserve">Another agency’s recent purchase of the same item</w:t>
            </w:r>
          </w:p>
        </w:tc>
        <w:tc>
          <w:tcPr>
            <w:tcMar>
              <w:top w:type="dxa" w:w="80"/>
              <w:left w:type="dxa" w:w="120"/>
              <w:bottom w:type="dxa" w:w="80"/>
              <w:right w:type="dxa" w:w="120"/>
            </w:tcMar>
          </w:tcPr>
          <w:p>
            <w:r>
              <w:rPr>
                <w:b/>
                <w:bCs/>
                <w:color w:val="B4531A"/>
                <w:sz w:val="20"/>
                <w:szCs w:val="20"/>
              </w:rPr>
              <w:t xml:space="preserve">[AMOUNT]</w:t>
            </w:r>
          </w:p>
        </w:tc>
        <w:tc>
          <w:tcPr>
            <w:tcMar>
              <w:top w:type="dxa" w:w="80"/>
              <w:left w:type="dxa" w:w="120"/>
              <w:bottom w:type="dxa" w:w="80"/>
              <w:right w:type="dxa" w:w="120"/>
            </w:tcMar>
          </w:tcPr>
          <w:p>
            <w:r>
              <w:rPr>
                <w:b/>
                <w:bCs/>
                <w:color w:val="B4531A"/>
                <w:sz w:val="20"/>
                <w:szCs w:val="20"/>
              </w:rPr>
              <w:t xml:space="preserve">[AGENCY, DATE]</w:t>
            </w:r>
          </w:p>
        </w:tc>
      </w:tr>
      <w:tr>
        <w:trPr>
          <w:tblHeader w:val="false"/>
        </w:trPr>
        <w:tc>
          <w:tcPr>
            <w:tcMar>
              <w:top w:type="dxa" w:w="80"/>
              <w:left w:type="dxa" w:w="120"/>
              <w:bottom w:type="dxa" w:w="80"/>
              <w:right w:type="dxa" w:w="120"/>
            </w:tcMar>
          </w:tcPr>
          <w:p>
            <w:r>
              <w:rPr>
                <w:b w:val="false"/>
                <w:bCs w:val="false"/>
                <w:sz w:val="20"/>
                <w:szCs w:val="20"/>
              </w:rPr>
              <w:t xml:space="preserve">Price under this cooperative contract</w:t>
            </w:r>
          </w:p>
        </w:tc>
        <w:tc>
          <w:tcPr>
            <w:tcMar>
              <w:top w:type="dxa" w:w="80"/>
              <w:left w:type="dxa" w:w="120"/>
              <w:bottom w:type="dxa" w:w="80"/>
              <w:right w:type="dxa" w:w="120"/>
            </w:tcMar>
          </w:tcPr>
          <w:p>
            <w:r>
              <w:rPr>
                <w:b/>
                <w:bCs/>
                <w:color w:val="B4531A"/>
                <w:sz w:val="20"/>
                <w:szCs w:val="20"/>
              </w:rPr>
              <w:t xml:space="preserve">[AMOUNT]</w:t>
            </w:r>
          </w:p>
        </w:tc>
        <w:tc>
          <w:tcPr>
            <w:tcMar>
              <w:top w:type="dxa" w:w="80"/>
              <w:left w:type="dxa" w:w="120"/>
              <w:bottom w:type="dxa" w:w="80"/>
              <w:right w:type="dxa" w:w="120"/>
            </w:tcMar>
          </w:tcPr>
          <w:p>
            <w:r>
              <w:rPr>
                <w:b/>
                <w:bCs/>
                <w:color w:val="B4531A"/>
                <w:sz w:val="20"/>
                <w:szCs w:val="20"/>
              </w:rPr>
              <w:t xml:space="preserve">[QUOTE NUMBER, DATE]</w:t>
            </w:r>
          </w:p>
        </w:tc>
      </w:tr>
    </w:tbl>
    <w:p>
      <w:pPr>
        <w:spacing w:after="20" w:before="140"/>
      </w:pPr>
      <w:r>
        <w:rPr>
          <w:b/>
          <w:bCs/>
          <w:sz w:val="20"/>
          <w:szCs w:val="20"/>
        </w:rPr>
        <w:t xml:space="preserve">Conclusion on price reasonableness, including the percentage difference found</w:t>
      </w:r>
    </w:p>
    <w:p>
      <w:pPr>
        <w:pBdr>
          <w:bottom w:val="single" w:color="B8C2C8" w:sz="4"/>
        </w:pBdr>
        <w:spacing w:after="100"/>
      </w:pPr>
      <w:r>
        <w:t xml:space="preserve"/>
      </w:r>
    </w:p>
    <w:p>
      <w:pPr>
        <w:pStyle w:val="Heading2"/>
        <w:spacing w:after="120" w:before="260"/>
      </w:pPr>
      <w:r>
        <w:t xml:space="preserve">8. Why not our own solicitation</w:t>
      </w:r>
    </w:p>
    <w:p>
      <w:pPr>
        <w:spacing w:after="140"/>
      </w:pPr>
      <w:r>
        <w:t xml:space="preserve">Answer in your own words. The prompts below are the cases where a cooperative contract is the wrong tool; if one of them applies and you bought through the cooperative anyway, say why that was still the right call.</w:t>
      </w:r>
    </w:p>
    <w:p>
      <w:pPr>
        <w:pStyle w:val="ListParagraph"/>
        <w:numPr>
          <w:ilvl w:val="0"/>
          <w:numId w:val="1"/>
        </w:numPr>
        <w:spacing w:after="60"/>
      </w:pPr>
      <w:r>
        <w:t xml:space="preserve">Highly specified units — the co-op price on a chassis says nothing about a knuckle-boom, a rear loader or a fire apparatus body, and the co-op solicitation was written against a generic scope.</w:t>
      </w:r>
    </w:p>
    <w:p>
      <w:pPr>
        <w:pStyle w:val="ListParagraph"/>
        <w:numPr>
          <w:ilvl w:val="0"/>
          <w:numId w:val="1"/>
        </w:numPr>
        <w:spacing w:after="60"/>
      </w:pPr>
      <w:r>
        <w:t xml:space="preserve">Local content or fleet-specific upfit requirements that the contract does not carry.</w:t>
      </w:r>
    </w:p>
    <w:p>
      <w:pPr>
        <w:pStyle w:val="ListParagraph"/>
        <w:numPr>
          <w:ilvl w:val="0"/>
          <w:numId w:val="1"/>
        </w:numPr>
        <w:spacing w:after="60"/>
      </w:pPr>
      <w:r>
        <w:t xml:space="preserve">Enough volume to attract a better price on your own — a dealer competing for the whole order.</w:t>
      </w:r>
    </w:p>
    <w:p>
      <w:pPr>
        <w:pStyle w:val="ListParagraph"/>
        <w:numPr>
          <w:ilvl w:val="0"/>
          <w:numId w:val="1"/>
        </w:numPr>
        <w:spacing w:after="60"/>
      </w:pPr>
      <w:r>
        <w:t xml:space="preserve">Service requirements outside the contract — parts availability, loaner policy, whether a technician comes out on a Friday afternoon.</w:t>
      </w:r>
    </w:p>
    <w:p>
      <w:pPr>
        <w:pStyle w:val="ListParagraph"/>
        <w:numPr>
          <w:ilvl w:val="0"/>
          <w:numId w:val="1"/>
        </w:numPr>
        <w:spacing w:after="60"/>
      </w:pPr>
      <w:r>
        <w:t xml:space="preserve">Software — the contract vehicle is fine, but data migration scope, implementation hours, ERP and fuel-system integration, and exit terms are not on a national schedule and must be negotiated separately, in writing, before the purchase order.</w:t>
      </w:r>
    </w:p>
    <w:p>
      <w:pPr>
        <w:pBdr>
          <w:bottom w:val="single" w:color="B8C2C8" w:sz="4"/>
        </w:pBdr>
        <w:spacing w:after="60" w:before="180"/>
      </w:pPr>
      <w:r>
        <w:t xml:space="preserve"/>
      </w:r>
    </w:p>
    <w:p>
      <w:pPr>
        <w:pBdr>
          <w:bottom w:val="single" w:color="B8C2C8" w:sz="4"/>
        </w:pBdr>
        <w:spacing w:after="60" w:before="180"/>
      </w:pPr>
      <w:r>
        <w:t xml:space="preserve"/>
      </w:r>
    </w:p>
    <w:p>
      <w:pPr>
        <w:pBdr>
          <w:bottom w:val="single" w:color="B8C2C8" w:sz="4"/>
        </w:pBdr>
        <w:spacing w:after="60" w:before="180"/>
      </w:pPr>
      <w:r>
        <w:t xml:space="preserve"/>
      </w:r>
    </w:p>
    <w:p>
      <w:pPr>
        <w:pBdr>
          <w:bottom w:val="single" w:color="B8C2C8" w:sz="4"/>
        </w:pBdr>
        <w:spacing w:after="60" w:before="180"/>
      </w:pPr>
      <w:r>
        <w:t xml:space="preserve"/>
      </w:r>
    </w:p>
    <w:p>
      <w:pPr>
        <w:pStyle w:val="Heading2"/>
        <w:spacing w:after="120" w:before="260"/>
      </w:pPr>
      <w:r>
        <w:t xml:space="preserve">9. Determination</w:t>
      </w:r>
    </w:p>
    <w:tbl>
      <w:tblPr>
        <w:tblW w:type="pct" w:w="100%"/>
        <w:tblBorders>
          <w:top w:val="single" w:color="B4531A" w:sz="6"/>
          <w:left w:val="single" w:color="B4531A" w:sz="6"/>
          <w:bottom w:val="single" w:color="B4531A" w:sz="6"/>
          <w:right w:val="single" w:color="B4531A" w:sz="6"/>
          <w:insideH w:val="none" w:color="FFFFFF" w:sz="0"/>
          <w:insideV w:val="none" w:color="FFFFFF" w:sz="0"/>
        </w:tblBorders>
      </w:tblPr>
      <w:tblGrid>
        <w:gridCol w:w="100"/>
      </w:tblGrid>
      <w:tr>
        <w:tc>
          <w:tcPr>
            <w:shd w:fill="FDF6EC" w:color="FDF6EC" w:val="solid"/>
            <w:tcMar>
              <w:top w:type="dxa" w:w="120"/>
              <w:left w:type="dxa" w:w="160"/>
              <w:bottom w:type="dxa" w:w="120"/>
              <w:right w:type="dxa" w:w="160"/>
            </w:tcMar>
          </w:tcPr>
          <w:p>
            <w:pPr>
              <w:spacing w:after="80"/>
            </w:pPr>
            <w:r>
              <w:rPr>
                <w:b/>
                <w:bCs/>
                <w:sz w:val="18"/>
                <w:szCs w:val="18"/>
              </w:rPr>
              <w:t xml:space="preserve">Delete this box before circulating.</w:t>
            </w:r>
          </w:p>
          <w:p>
            <w:pPr>
              <w:spacing w:after="50"/>
            </w:pPr>
            <w:r>
              <w:rPr>
                <w:sz w:val="18"/>
                <w:szCs w:val="18"/>
              </w:rPr>
              <w:t xml:space="preserve">This is the item people skip and the one that protects them. "We used Sourcewell" is not a determination — it is the name of a cooperative. A determination states what you compared, what you found, and why you chose this route over your own solicitation.</w:t>
            </w:r>
          </w:p>
          <w:p>
            <w:pPr>
              <w:spacing w:after="50"/>
            </w:pPr>
            <w:r>
              <w:rPr>
                <w:sz w:val="18"/>
                <w:szCs w:val="18"/>
              </w:rPr>
              <w:t xml:space="preserve">Two or three sentences. It takes about four minutes to write while you still remember the purchase, and it is the only part of this file that answers the question an auditor actually has.</w:t>
            </w:r>
          </w:p>
          <w:p>
            <w:pPr>
              <w:spacing w:after="50"/>
            </w:pPr>
            <w:r>
              <w:rPr>
                <w:sz w:val="18"/>
                <w:szCs w:val="18"/>
              </w:rPr>
              <w:t xml:space="preserve">Name the comparisons and the numbers from section 7, then give the operational reason.</w:t>
            </w:r>
          </w:p>
          <w:p>
            <w:pPr>
              <w:spacing w:after="50"/>
            </w:pPr>
            <w:r>
              <w:rPr>
                <w:sz w:val="18"/>
                <w:szCs w:val="18"/>
              </w:rPr>
              <w:t xml:space="preserve">Worked example — replace with your own facts: "We compared the Sourcewell price against two dealer quotes and the county’s March purchase of the same chassis, found it within 2%, and chose the co-op because our own solicitation would have pushed delivery past plow season."</w:t>
            </w:r>
          </w:p>
          <w:p>
            <w:pPr>
              <w:spacing w:after="50"/>
            </w:pPr>
            <w:r>
              <w:rPr>
                <w:sz w:val="18"/>
                <w:szCs w:val="18"/>
              </w:rPr>
              <w:t xml:space="preserve">Note what that sentence does: it names the comparisons (two quotes and a recent peer purchase), gives the result as a number (within 2%), and states the reason the cooperative was the right tool here (delivery timing against an operational deadline). It does not claim savings it cannot evidence, and it does not rest on the cooperative’s name.</w:t>
            </w:r>
          </w:p>
        </w:tc>
      </w:tr>
    </w:tbl>
    <w:p>
      <w:pPr>
        <w:spacing w:after="140"/>
      </w:pPr>
      <w:r>
        <w:t xml:space="preserve">I have reviewed the authority cited in section 2, confirmed this agency’s eligibility under the contract identified in section 3, and tested the price as recorded in section 7. My determination is:</w:t>
      </w:r>
    </w:p>
    <w:p>
      <w:pPr>
        <w:pBdr>
          <w:bottom w:val="single" w:color="B8C2C8" w:sz="4"/>
        </w:pBdr>
        <w:spacing w:after="60" w:before="180"/>
      </w:pPr>
      <w:r>
        <w:t xml:space="preserve"/>
      </w:r>
    </w:p>
    <w:p>
      <w:pPr>
        <w:pBdr>
          <w:bottom w:val="single" w:color="B8C2C8" w:sz="4"/>
        </w:pBdr>
        <w:spacing w:after="60" w:before="180"/>
      </w:pPr>
      <w:r>
        <w:t xml:space="preserve"/>
      </w:r>
    </w:p>
    <w:p>
      <w:pPr>
        <w:pBdr>
          <w:bottom w:val="single" w:color="B8C2C8" w:sz="4"/>
        </w:pBdr>
        <w:spacing w:after="60" w:before="180"/>
      </w:pPr>
      <w:r>
        <w:t xml:space="preserve"/>
      </w:r>
    </w:p>
    <w:p>
      <w:pPr>
        <w:pBdr>
          <w:bottom w:val="single" w:color="B8C2C8" w:sz="4"/>
        </w:pBdr>
        <w:spacing w:after="60" w:before="180"/>
      </w:pPr>
      <w:r>
        <w:t xml:space="preserve"/>
      </w:r>
    </w:p>
    <w:p>
      <w:pPr>
        <w:pBdr>
          <w:bottom w:val="single" w:color="B8C2C8" w:sz="4"/>
        </w:pBdr>
        <w:spacing w:after="60" w:before="180"/>
      </w:pPr>
      <w:r>
        <w:t xml:space="preserve"/>
      </w:r>
    </w:p>
    <w:p>
      <w:pPr>
        <w:pBdr>
          <w:bottom w:val="single" w:color="B8C2C8" w:sz="4"/>
        </w:pBdr>
        <w:spacing w:after="60" w:before="180"/>
      </w:pPr>
      <w:r>
        <w:t xml:space="preserve"/>
      </w:r>
    </w:p>
    <w:p>
      <w:pPr>
        <w:pStyle w:val="Heading2"/>
        <w:spacing w:after="120" w:before="260"/>
      </w:pPr>
      <w:r>
        <w:t xml:space="preserve">10. Approval and retention</w:t>
      </w:r>
    </w:p>
    <w:p>
      <w:pPr>
        <w:spacing w:after="20" w:before="240"/>
      </w:pPr>
      <w:r>
        <w:rPr>
          <w:b/>
          <w:bCs/>
          <w:sz w:val="20"/>
          <w:szCs w:val="20"/>
        </w:rPr>
        <w:t xml:space="preserve">Determination made by (name, title) — signature and date</w:t>
      </w:r>
    </w:p>
    <w:p>
      <w:pPr>
        <w:pBdr>
          <w:bottom w:val="single" w:color="23414B" w:sz="6"/>
        </w:pBdr>
        <w:spacing w:after="160"/>
      </w:pPr>
      <w:r>
        <w:t xml:space="preserve"/>
      </w:r>
    </w:p>
    <w:p>
      <w:pPr>
        <w:spacing w:after="20" w:before="240"/>
      </w:pPr>
      <w:r>
        <w:rPr>
          <w:b/>
          <w:bCs/>
          <w:sz w:val="20"/>
          <w:szCs w:val="20"/>
        </w:rPr>
        <w:t xml:space="preserve">Reviewed by purchasing / procurement officer — signature and date</w:t>
      </w:r>
    </w:p>
    <w:p>
      <w:pPr>
        <w:pBdr>
          <w:bottom w:val="single" w:color="23414B" w:sz="6"/>
        </w:pBdr>
        <w:spacing w:after="160"/>
      </w:pPr>
      <w:r>
        <w:t xml:space="preserve"/>
      </w:r>
    </w:p>
    <w:p>
      <w:pPr>
        <w:spacing w:after="20" w:before="240"/>
      </w:pPr>
      <w:r>
        <w:rPr>
          <w:b/>
          <w:bCs/>
          <w:sz w:val="20"/>
          <w:szCs w:val="20"/>
        </w:rPr>
        <w:t xml:space="preserve">Approved by (as your policy requires) — signature and date</w:t>
      </w:r>
    </w:p>
    <w:p>
      <w:pPr>
        <w:pBdr>
          <w:bottom w:val="single" w:color="23414B" w:sz="6"/>
        </w:pBdr>
        <w:spacing w:after="160"/>
      </w:pPr>
      <w:r>
        <w:t xml:space="preserve"/>
      </w:r>
    </w:p>
    <w:p>
      <w:pPr>
        <w:spacing w:after="140"/>
      </w:pPr>
      <w:r>
        <w:t xml:space="preserve">Attachments filed with this memo:</w:t>
      </w:r>
    </w:p>
    <w:p>
      <w:pPr>
        <w:spacing w:after="80"/>
        <w:ind w:left="200"/>
      </w:pPr>
      <w:r>
        <w:t xml:space="preserve">☐  Solicitation showing the cooperative language</w:t>
      </w:r>
    </w:p>
    <w:p>
      <w:pPr>
        <w:spacing w:after="80"/>
        <w:ind w:left="200"/>
      </w:pPr>
      <w:r>
        <w:t xml:space="preserve">☐  Award document or notice of award</w:t>
      </w:r>
    </w:p>
    <w:p>
      <w:pPr>
        <w:spacing w:after="80"/>
        <w:ind w:left="200"/>
      </w:pPr>
      <w:r>
        <w:t xml:space="preserve">☐  Membership / participating-entity confirmation, or the participating addendum</w:t>
      </w:r>
    </w:p>
    <w:p>
      <w:pPr>
        <w:spacing w:after="80"/>
        <w:ind w:left="200"/>
      </w:pPr>
      <w:r>
        <w:t xml:space="preserve">☐  Supplier quote under the cooperative contract</w:t>
      </w:r>
    </w:p>
    <w:p>
      <w:pPr>
        <w:spacing w:after="80"/>
        <w:ind w:left="200"/>
      </w:pPr>
      <w:r>
        <w:t xml:space="preserve">☐  Comparison quotes and any prior purchase records relied upon</w:t>
      </w:r>
    </w:p>
    <w:p>
      <w:pPr>
        <w:spacing w:after="80"/>
        <w:ind w:left="200"/>
      </w:pPr>
      <w:r>
        <w:t xml:space="preserve">☐  Any state-required determination or approval</w:t>
      </w:r>
    </w:p>
    <w:p>
      <w:pPr>
        <w:spacing w:after="20" w:before="140"/>
      </w:pPr>
      <w:r>
        <w:rPr>
          <w:b/>
          <w:bCs/>
          <w:sz w:val="20"/>
          <w:szCs w:val="20"/>
        </w:rPr>
        <w:t xml:space="preserve">Where the complete packet is filed, and the retention period that applies</w:t>
      </w:r>
    </w:p>
    <w:p>
      <w:pPr>
        <w:pBdr>
          <w:bottom w:val="single" w:color="B8C2C8" w:sz="4"/>
        </w:pBdr>
        <w:spacing w:after="100"/>
      </w:pPr>
      <w:r>
        <w:t xml:space="preserve"/>
      </w:r>
    </w:p>
    <w:p>
      <w:r>
        <w:br w:type="page"/>
      </w:r>
    </w:p>
    <w:p>
      <w:pPr>
        <w:pStyle w:val="Heading2"/>
        <w:spacing w:after="120" w:before="260"/>
      </w:pPr>
      <w:r>
        <w:t xml:space="preserve">Sources and method</w:t>
      </w:r>
    </w:p>
    <w:p>
      <w:pPr>
        <w:spacing w:after="140"/>
      </w:pPr>
      <w:r>
        <w:t xml:space="preserve">This template reproduces the closing checklist of the guide "Buying fleet vehicles and software through cooperative contracts" (</w:t>
      </w:r>
      <w:r>
        <w:t xml:space="preserve">/guides/cooperative-purchasing/</w:t>
      </w:r>
      <w:r>
        <w:t xml:space="preserve">). Version 1.0, reviewed 2026-07-29. Sources marked primary are the regulation, statute, adopted program document or executed agreement itself rather than a description of it.</w:t>
      </w:r>
    </w:p>
    <w:p>
      <w:pPr>
        <w:spacing w:after="20" w:before="120"/>
      </w:pPr>
      <w:r>
        <w:rPr>
          <w:b/>
          <w:bCs/>
          <w:sz w:val="18"/>
          <w:szCs w:val="18"/>
        </w:rPr>
        <w:t xml:space="preserve">Primary — </w:t>
      </w:r>
      <w:r>
        <w:rPr>
          <w:sz w:val="18"/>
          <w:szCs w:val="18"/>
        </w:rPr>
        <w:t xml:space="preserve">2 CFR § 200.318 — General procurement standards (Uniform Guidance)</w:t>
      </w:r>
    </w:p>
    <w:p>
      <w:pPr>
        <w:spacing w:after="20"/>
      </w:pPr>
      <w:r>
        <w:rPr>
          <w:color w:val="6B7280"/>
          <w:sz w:val="16"/>
          <w:szCs w:val="16"/>
        </w:rPr>
        <w:t xml:space="preserve">https://www.ecfr.gov/current/title-2/section-200.318</w:t>
      </w:r>
    </w:p>
    <w:p>
      <w:pPr>
        <w:spacing w:after="60"/>
      </w:pPr>
      <w:r>
        <w:rPr>
          <w:i/>
          <w:iCs/>
          <w:color w:val="6B7280"/>
          <w:sz w:val="16"/>
          <w:szCs w:val="16"/>
        </w:rPr>
        <w:t xml:space="preserve">paragraph (e) is the provision under which a documented intergovernmental arrangement meets the federal competition requirement</w:t>
      </w:r>
    </w:p>
    <w:p>
      <w:pPr>
        <w:spacing w:after="20" w:before="120"/>
      </w:pPr>
      <w:r>
        <w:rPr>
          <w:b/>
          <w:bCs/>
          <w:sz w:val="18"/>
          <w:szCs w:val="18"/>
        </w:rPr>
        <w:t xml:space="preserve">Primary — </w:t>
      </w:r>
      <w:r>
        <w:rPr>
          <w:sz w:val="18"/>
          <w:szCs w:val="18"/>
        </w:rPr>
        <w:t xml:space="preserve">2 CFR § 200.324 — Contract cost and price</w:t>
      </w:r>
    </w:p>
    <w:p>
      <w:pPr>
        <w:spacing w:after="20"/>
      </w:pPr>
      <w:r>
        <w:rPr>
          <w:color w:val="6B7280"/>
          <w:sz w:val="16"/>
          <w:szCs w:val="16"/>
        </w:rPr>
        <w:t xml:space="preserve">https://www.ecfr.gov/current/title-2/section-200.324</w:t>
      </w:r>
    </w:p>
    <w:p>
      <w:pPr>
        <w:spacing w:after="60"/>
      </w:pPr>
      <w:r>
        <w:rPr>
          <w:i/>
          <w:iCs/>
          <w:color w:val="6B7280"/>
          <w:sz w:val="16"/>
          <w:szCs w:val="16"/>
        </w:rPr>
        <w:t xml:space="preserve">the cost or price analysis that survives a cooperative purchase — section 7 of this memo is where it is recorded</w:t>
      </w:r>
    </w:p>
    <w:p>
      <w:pPr>
        <w:spacing w:after="20" w:before="120"/>
      </w:pPr>
      <w:r>
        <w:rPr>
          <w:b/>
          <w:bCs/>
          <w:sz w:val="18"/>
          <w:szCs w:val="18"/>
        </w:rPr>
        <w:t xml:space="preserve">Primary — </w:t>
      </w:r>
      <w:r>
        <w:rPr>
          <w:sz w:val="18"/>
          <w:szCs w:val="18"/>
        </w:rPr>
        <w:t xml:space="preserve">Sourcewell — Legal authority and compliance</w:t>
      </w:r>
    </w:p>
    <w:p>
      <w:pPr>
        <w:spacing w:after="60"/>
      </w:pPr>
      <w:r>
        <w:rPr>
          <w:color w:val="6B7280"/>
          <w:sz w:val="16"/>
          <w:szCs w:val="16"/>
        </w:rPr>
        <w:t xml:space="preserve">https://www.sourcewell-mn.gov/compliance-legal</w:t>
      </w:r>
    </w:p>
    <w:p>
      <w:pPr>
        <w:spacing w:after="20" w:before="120"/>
      </w:pPr>
      <w:r>
        <w:rPr>
          <w:b/>
          <w:bCs/>
          <w:sz w:val="18"/>
          <w:szCs w:val="18"/>
        </w:rPr>
        <w:t xml:space="preserve">Primary — </w:t>
      </w:r>
      <w:r>
        <w:rPr>
          <w:sz w:val="18"/>
          <w:szCs w:val="18"/>
        </w:rPr>
        <w:t xml:space="preserve">Sourcewell Cooperative Purchasing Program — board-adopted program document, v.3, 17 February 2026</w:t>
      </w:r>
    </w:p>
    <w:p>
      <w:pPr>
        <w:spacing w:after="20"/>
      </w:pPr>
      <w:r>
        <w:rPr>
          <w:color w:val="6B7280"/>
          <w:sz w:val="16"/>
          <w:szCs w:val="16"/>
        </w:rPr>
        <w:t xml:space="preserve">https://assets.sourcewell-mn.gov/m/69a52239140d2514/original/Sourcewell-Cooperative-Purchasing-Program.pdf</w:t>
      </w:r>
    </w:p>
    <w:p>
      <w:pPr>
        <w:spacing w:after="60"/>
      </w:pPr>
      <w:r>
        <w:rPr>
          <w:i/>
          <w:iCs/>
          <w:color w:val="6B7280"/>
          <w:sz w:val="16"/>
          <w:szCs w:val="16"/>
        </w:rPr>
        <w:t xml:space="preserve">participating-entity eligibility p. 1–2; administrative fee terms section VI(C)</w:t>
      </w:r>
    </w:p>
    <w:p>
      <w:pPr>
        <w:spacing w:after="20" w:before="120"/>
      </w:pPr>
      <w:r>
        <w:rPr>
          <w:b/>
          <w:bCs/>
          <w:sz w:val="18"/>
          <w:szCs w:val="18"/>
        </w:rPr>
        <w:t xml:space="preserve"/>
      </w:r>
      <w:r>
        <w:rPr>
          <w:sz w:val="18"/>
          <w:szCs w:val="18"/>
        </w:rPr>
        <w:t xml:space="preserve">Sourcewell — How cooperative purchasing works</w:t>
      </w:r>
    </w:p>
    <w:p>
      <w:pPr>
        <w:spacing w:after="20"/>
      </w:pPr>
      <w:r>
        <w:rPr>
          <w:color w:val="6B7280"/>
          <w:sz w:val="16"/>
          <w:szCs w:val="16"/>
        </w:rPr>
        <w:t xml:space="preserve">https://www.sourcewell-mn.gov/cooperative-purchasing/how-it-works</w:t>
      </w:r>
    </w:p>
    <w:p>
      <w:pPr>
        <w:spacing w:after="60"/>
      </w:pPr>
      <w:r>
        <w:rPr>
          <w:i/>
          <w:iCs/>
          <w:color w:val="6B7280"/>
          <w:sz w:val="16"/>
          <w:szCs w:val="16"/>
        </w:rPr>
        <w:t xml:space="preserve">promotional overview rather than adopted policy — the source for "no cost to register, no obligation to use a contract, for-profit organizations not eligible"; the program document above governs where the two differ</w:t>
      </w:r>
    </w:p>
    <w:p>
      <w:pPr>
        <w:spacing w:after="20" w:before="120"/>
      </w:pPr>
      <w:r>
        <w:rPr>
          <w:b/>
          <w:bCs/>
          <w:sz w:val="18"/>
          <w:szCs w:val="18"/>
        </w:rPr>
        <w:t xml:space="preserve">Primary — </w:t>
      </w:r>
      <w:r>
        <w:rPr>
          <w:sz w:val="18"/>
          <w:szCs w:val="18"/>
        </w:rPr>
        <w:t xml:space="preserve">Minn. Stat. § 471.345 — Uniform Municipal Contracting Law, subd. 15</w:t>
      </w:r>
    </w:p>
    <w:p>
      <w:pPr>
        <w:spacing w:after="20"/>
      </w:pPr>
      <w:r>
        <w:rPr>
          <w:color w:val="6B7280"/>
          <w:sz w:val="16"/>
          <w:szCs w:val="16"/>
        </w:rPr>
        <w:t xml:space="preserve">https://www.revisor.mn.gov/statutes/cite/471.345</w:t>
      </w:r>
    </w:p>
    <w:p>
      <w:pPr>
        <w:spacing w:after="60"/>
      </w:pPr>
      <w:r>
        <w:rPr>
          <w:i/>
          <w:iCs/>
          <w:color w:val="6B7280"/>
          <w:sz w:val="16"/>
          <w:szCs w:val="16"/>
        </w:rPr>
        <w:t xml:space="preserve">an example of how narrowly a state exemption is written, and of the "consider the state venture" condition above $25,000</w:t>
      </w:r>
    </w:p>
    <w:p>
      <w:pPr>
        <w:spacing w:after="20" w:before="120"/>
      </w:pPr>
      <w:r>
        <w:rPr>
          <w:b/>
          <w:bCs/>
          <w:sz w:val="18"/>
          <w:szCs w:val="18"/>
        </w:rPr>
        <w:t xml:space="preserve">Primary — </w:t>
      </w:r>
      <w:r>
        <w:rPr>
          <w:sz w:val="18"/>
          <w:szCs w:val="18"/>
        </w:rPr>
        <w:t xml:space="preserve">Va. Code § 2.2-4304 — Joint and cooperative procurement</w:t>
      </w:r>
    </w:p>
    <w:p>
      <w:pPr>
        <w:spacing w:after="20"/>
      </w:pPr>
      <w:r>
        <w:rPr>
          <w:color w:val="6B7280"/>
          <w:sz w:val="16"/>
          <w:szCs w:val="16"/>
        </w:rPr>
        <w:t xml:space="preserve">https://law.lis.virginia.gov/vacode/title2.2/chapter43/section2.2-4304/</w:t>
      </w:r>
    </w:p>
    <w:p>
      <w:pPr>
        <w:spacing w:after="60"/>
      </w:pPr>
      <w:r>
        <w:rPr>
          <w:i/>
          <w:iCs/>
          <w:color w:val="6B7280"/>
          <w:sz w:val="16"/>
          <w:szCs w:val="16"/>
        </w:rPr>
        <w:t xml:space="preserve">the condition that the original solicitation must itself have said it was cooperative, and the construction and A/E exclusions</w:t>
      </w:r>
    </w:p>
    <w:p>
      <w:pPr>
        <w:spacing w:after="20" w:before="120"/>
      </w:pPr>
      <w:r>
        <w:rPr>
          <w:b/>
          <w:bCs/>
          <w:sz w:val="18"/>
          <w:szCs w:val="18"/>
        </w:rPr>
        <w:t xml:space="preserve">Primary — </w:t>
      </w:r>
      <w:r>
        <w:rPr>
          <w:sz w:val="18"/>
          <w:szCs w:val="18"/>
        </w:rPr>
        <w:t xml:space="preserve">New Jersey Office of the State Comptroller — OSC's roadmap to compliance with cooperative contracting (Rutgers Public Purchasing Educational Forum, 25 April 2024)</w:t>
      </w:r>
    </w:p>
    <w:p>
      <w:pPr>
        <w:spacing w:after="20"/>
      </w:pPr>
      <w:r>
        <w:rPr>
          <w:color w:val="6B7280"/>
          <w:sz w:val="16"/>
          <w:szCs w:val="16"/>
        </w:rPr>
        <w:t xml:space="preserve">https://nj.gov/comptroller/library/Resources/Cooperative_Purchasing_Presentation.pdf</w:t>
      </w:r>
    </w:p>
    <w:p>
      <w:pPr>
        <w:spacing w:after="60"/>
      </w:pPr>
      <w:r>
        <w:rPr>
          <w:i/>
          <w:iCs/>
          <w:color w:val="6B7280"/>
          <w:sz w:val="16"/>
          <w:szCs w:val="16"/>
        </w:rPr>
        <w:t xml:space="preserve">source of the cost-savings determination requirement and of "a price ceiling, but not necessarily the lowest price"</w:t>
      </w:r>
    </w:p>
    <w:p>
      <w:pPr>
        <w:spacing w:after="20" w:before="120"/>
      </w:pPr>
      <w:r>
        <w:rPr>
          <w:b/>
          <w:bCs/>
          <w:sz w:val="18"/>
          <w:szCs w:val="18"/>
        </w:rPr>
        <w:t xml:space="preserve">Primary — </w:t>
      </w:r>
      <w:r>
        <w:rPr>
          <w:sz w:val="18"/>
          <w:szCs w:val="18"/>
        </w:rPr>
        <w:t xml:space="preserve">NASPO ValuePoint master agreement PO-10700-00050035 (vehicle rental, EAN Services), as published by NC Dept. of Administration</w:t>
      </w:r>
    </w:p>
    <w:p>
      <w:pPr>
        <w:spacing w:after="20"/>
      </w:pPr>
      <w:r>
        <w:rPr>
          <w:color w:val="6B7280"/>
          <w:sz w:val="16"/>
          <w:szCs w:val="16"/>
        </w:rPr>
        <w:t xml:space="preserve">https://www.doa.nc.gov/7811a-enterprise-holdings-master-agreement/open</w:t>
      </w:r>
    </w:p>
    <w:p>
      <w:pPr>
        <w:spacing w:after="60"/>
      </w:pPr>
      <w:r>
        <w:rPr>
          <w:i/>
          <w:iCs/>
          <w:color w:val="6B7280"/>
          <w:sz w:val="16"/>
          <w:szCs w:val="16"/>
        </w:rPr>
        <w:t xml:space="preserve">section 5.2.1 is the 0.25% administrative fee, paid quarterly and required to be built into submitted pricing; its 5.2.2 requires the contractor to raise in-state pricing to cover a state-imposed fee. Lead state Oregon</w:t>
      </w:r>
    </w:p>
    <w:p>
      <w:pPr>
        <w:spacing w:after="20" w:before="120"/>
      </w:pPr>
      <w:r>
        <w:rPr>
          <w:b/>
          <w:bCs/>
          <w:sz w:val="18"/>
          <w:szCs w:val="18"/>
        </w:rPr>
        <w:t xml:space="preserve">Primary — </w:t>
      </w:r>
      <w:r>
        <w:rPr>
          <w:sz w:val="18"/>
          <w:szCs w:val="18"/>
        </w:rPr>
        <w:t xml:space="preserve">NASPO ValuePoint master agreement 188627 (multi-function devices, Sharp Electronics, lead state Colorado), as published by Washington State DES</w:t>
      </w:r>
    </w:p>
    <w:p>
      <w:pPr>
        <w:spacing w:after="20"/>
      </w:pPr>
      <w:r>
        <w:rPr>
          <w:color w:val="6B7280"/>
          <w:sz w:val="16"/>
          <w:szCs w:val="16"/>
        </w:rPr>
        <w:t xml:space="preserve">https://apps.des.wa.gov/contracting/Sharp%20Master%20Agreement_effective%2008.01.2024.pdf</w:t>
      </w:r>
    </w:p>
    <w:p>
      <w:pPr>
        <w:spacing w:after="60"/>
      </w:pPr>
      <w:r>
        <w:rPr>
          <w:i/>
          <w:iCs/>
          <w:color w:val="6B7280"/>
          <w:sz w:val="16"/>
          <w:szCs w:val="16"/>
        </w:rPr>
        <w:t xml:space="preserve">an unrelated commodity carrying 5.2.1 word for word — this is why the 0.25% can be called standard rather than one contract’s terms. Its 5.2.2 is the opposite of the Oregon agreement’s: no in-state increase to cover a state fee unless the state agrees in writing. Read 5.2.2 in the agreement in front of you before answering section 6</w:t>
      </w:r>
    </w:p>
    <w:p>
      <w:pPr>
        <w:spacing w:after="20" w:before="120"/>
      </w:pPr>
      <w:r>
        <w:rPr>
          <w:b/>
          <w:bCs/>
          <w:sz w:val="18"/>
          <w:szCs w:val="18"/>
        </w:rPr>
        <w:t xml:space="preserve">Primary — </w:t>
      </w:r>
      <w:r>
        <w:rPr>
          <w:sz w:val="18"/>
          <w:szCs w:val="18"/>
        </w:rPr>
        <w:t xml:space="preserve">NASPO ValuePoint participating addendum, State of North Carolina</w:t>
      </w:r>
    </w:p>
    <w:p>
      <w:pPr>
        <w:spacing w:after="20"/>
      </w:pPr>
      <w:r>
        <w:rPr>
          <w:color w:val="6B7280"/>
          <w:sz w:val="16"/>
          <w:szCs w:val="16"/>
        </w:rPr>
        <w:t xml:space="preserve">https://www.doa.nc.gov/7811a-enterprise-holdings-participating-addendum/open</w:t>
      </w:r>
    </w:p>
    <w:p>
      <w:pPr>
        <w:spacing w:after="60"/>
      </w:pPr>
      <w:r>
        <w:rPr>
          <w:i/>
          <w:iCs/>
          <w:color w:val="6B7280"/>
          <w:sz w:val="16"/>
          <w:szCs w:val="16"/>
        </w:rPr>
        <w:t xml:space="preserve">a worked example of what your state signs and of how it names who may buy</w:t>
      </w:r>
    </w:p>
    <w:p>
      <w:pPr>
        <w:spacing w:after="20" w:before="120"/>
      </w:pPr>
      <w:r>
        <w:rPr>
          <w:b/>
          <w:bCs/>
          <w:sz w:val="18"/>
          <w:szCs w:val="18"/>
        </w:rPr>
        <w:t xml:space="preserve"/>
      </w:r>
      <w:r>
        <w:rPr>
          <w:sz w:val="18"/>
          <w:szCs w:val="18"/>
        </w:rPr>
        <w:t xml:space="preserve">Region 4 Education Service Center — Appendix D, Requirements for national cooperative contract to be administered by OMNIA Partners, Public Sector</w:t>
      </w:r>
    </w:p>
    <w:p>
      <w:pPr>
        <w:spacing w:after="20"/>
      </w:pPr>
      <w:r>
        <w:rPr>
          <w:color w:val="6B7280"/>
          <w:sz w:val="16"/>
          <w:szCs w:val="16"/>
        </w:rPr>
        <w:t xml:space="preserve">https://www.omniapartners.com/suppliers-files/E-J/edmentum/Contract_Documents/R191903/APPENDIX_D__Solicitation_Attachment.pdf</w:t>
      </w:r>
    </w:p>
    <w:p>
      <w:pPr>
        <w:spacing w:after="60"/>
      </w:pPr>
      <w:r>
        <w:rPr>
          <w:i/>
          <w:iCs/>
          <w:color w:val="6B7280"/>
          <w:sz w:val="16"/>
          <w:szCs w:val="16"/>
        </w:rPr>
        <w:t xml:space="preserve">a lead agency solicitation attachment, republished by the cooperative rather than by the agency — section 1.2 set the administrative fee at 3% for that solicitation</w:t>
      </w:r>
    </w:p>
    <w:p>
      <w:pPr>
        <w:spacing w:after="20" w:before="120"/>
      </w:pPr>
      <w:r>
        <w:rPr>
          <w:b/>
          <w:bCs/>
          <w:sz w:val="18"/>
          <w:szCs w:val="18"/>
        </w:rPr>
        <w:t xml:space="preserve"/>
      </w:r>
      <w:r>
        <w:rPr>
          <w:sz w:val="18"/>
          <w:szCs w:val="18"/>
        </w:rPr>
        <w:t xml:space="preserve">OMNIA Partners — Lead agency contracting process</w:t>
      </w:r>
    </w:p>
    <w:p>
      <w:pPr>
        <w:spacing w:after="20"/>
      </w:pPr>
      <w:r>
        <w:rPr>
          <w:color w:val="6B7280"/>
          <w:sz w:val="16"/>
          <w:szCs w:val="16"/>
        </w:rPr>
        <w:t xml:space="preserve">https://www.omniapartners.com/resources/public-sector-resources/contracting-process</w:t>
      </w:r>
    </w:p>
    <w:p>
      <w:pPr>
        <w:spacing w:after="60"/>
      </w:pPr>
      <w:r>
        <w:rPr>
          <w:i/>
          <w:iCs/>
          <w:color w:val="6B7280"/>
          <w:sz w:val="16"/>
          <w:szCs w:val="16"/>
        </w:rPr>
        <w:t xml:space="preserve">vendor-published description of their own model; treat the process claims as the cooperative’s own account</w:t>
      </w:r>
    </w:p>
    <w:p>
      <w:pPr>
        <w:spacing w:after="140"/>
      </w:pPr>
      <w:r>
        <w:rPr>
          <w:i/>
          <w:iCs/>
        </w:rPr>
        <w:t xml:space="preserve">Nothing here is legal advice. Your own ordinance and your own state statute govern, and both are narrower than the general account of cooperative purchasing suggests. Verify the cites above against the current text before you rely on them.</w:t>
      </w:r>
    </w:p>
    <w:p>
      <w:pPr>
        <w:pBdr>
          <w:top w:val="single" w:color="D0D7DC" w:sz="4"/>
        </w:pBdr>
        <w:spacing w:after="120" w:before="420"/>
      </w:pPr>
      <w:r>
        <w:t xml:space="preserve"/>
      </w:r>
    </w:p>
    <w:p>
      <w:pPr>
        <w:spacing w:after="40"/>
      </w:pPr>
      <w:r>
        <w:rPr>
          <w:color w:val="6B7280"/>
          <w:sz w:val="16"/>
          <w:szCs w:val="16"/>
        </w:rPr>
        <w:t xml:space="preserve">Published by Fleet Desk — https://fleetdesk.axionfleetai.com</w:t>
      </w:r>
    </w:p>
    <w:p>
      <w:pPr>
        <w:spacing w:after="40"/>
      </w:pPr>
      <w:r>
        <w:rPr>
          <w:color w:val="6B7280"/>
          <w:sz w:val="16"/>
          <w:szCs w:val="16"/>
        </w:rPr>
        <w:t xml:space="preserve">Free to use, adapt and distribute, including commercially. No attribution required.</w:t>
      </w:r>
    </w:p>
    <w:p>
      <w:pPr>
        <w:spacing w:after="40"/>
      </w:pPr>
      <w:r>
        <w:rPr>
          <w:color w:val="6B7280"/>
          <w:sz w:val="16"/>
          <w:szCs w:val="16"/>
        </w:rPr>
        <w:t xml:space="preserve">Sponsored by Axion (axionfleetai.com), which had no editorial control over this template.</w:t>
      </w:r>
    </w:p>
    <w:sectPr>
      <w:pgSz w:w="11906" w:h="16838" w:orient="portrait"/>
      <w:pgMar w:top="1000" w:right="1000" w:bottom="1000" w:left="10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23414B"/>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pPr>
      <w:spacing w:after="120" w:before="280"/>
    </w:pPr>
    <w:rPr>
      <w:rFonts w:ascii="Calibri" w:cs="Calibri" w:eastAsia="Calibri" w:hAnsi="Calibri"/>
      <w:b/>
      <w:bCs/>
      <w:color w:val="23414B"/>
      <w:sz w:val="30"/>
      <w:szCs w:val="30"/>
    </w:rPr>
  </w:style>
  <w:style w:type="paragraph" w:styleId="Heading2">
    <w:name w:val="Heading 2"/>
    <w:basedOn w:val="Normal"/>
    <w:next w:val="Normal"/>
    <w:qFormat/>
    <w:pPr>
      <w:spacing w:after="100" w:before="220"/>
    </w:pPr>
    <w:rPr>
      <w:rFonts w:ascii="Calibri" w:cs="Calibri" w:eastAsia="Calibri" w:hAnsi="Calibri"/>
      <w:b/>
      <w:bCs/>
      <w:color w:val="23414B"/>
      <w:sz w:val="24"/>
      <w:szCs w:val="24"/>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Cooperative purchase justification memo</dc:title>
  <dc:creator>Fleet Desk</dc:creator>
  <dc:description>Cooperative purchase justification memo — version 1.0</dc:description>
  <cp:lastModifiedBy>Un-named</cp:lastModifiedBy>
  <cp:revision>1</cp:revision>
  <dcterms:created xsi:type="dcterms:W3CDTF">2026-08-02T15:27:31.781Z</dcterms:created>
  <dcterms:modified xsi:type="dcterms:W3CDTF">2026-08-02T15:27:31.781Z</dcterms:modified>
</cp:coreProperties>
</file>

<file path=docProps/custom.xml><?xml version="1.0" encoding="utf-8"?>
<Properties xmlns="http://schemas.openxmlformats.org/officeDocument/2006/custom-properties" xmlns:vt="http://schemas.openxmlformats.org/officeDocument/2006/docPropsVTypes"/>
</file>