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before="0"/>
      </w:pPr>
      <w:r>
        <w:rPr>
          <w:b/>
          <w:bCs/>
          <w:color w:val="B4531A"/>
        </w:rPr>
        <w:t xml:space="preserve">[AGENCY NAME]</w:t>
      </w:r>
      <w:r>
        <w:t xml:space="preserve"> — Fleet safety policy</w:t>
      </w:r>
    </w:p>
    <w:p>
      <w:pPr>
        <w:spacing w:after="240"/>
      </w:pPr>
      <w:r>
        <w:t xml:space="preserve">Effective </w:t>
      </w:r>
      <w:r>
        <w:rPr>
          <w:b/>
          <w:bCs/>
          <w:color w:val="B4531A"/>
        </w:rPr>
        <w:t xml:space="preserve">[EFFECTIVE DATE]</w:t>
      </w:r>
      <w:r>
        <w:t xml:space="preserve">    Supersedes </w:t>
      </w:r>
      <w:r>
        <w:rPr>
          <w:b/>
          <w:bCs/>
          <w:color w:val="B4531A"/>
        </w:rPr>
        <w:t xml:space="preserve">[SUPERSEDES]</w:t>
      </w:r>
      <w:r>
        <w:t xml:space="preserve">    Policy owner </w:t>
      </w:r>
      <w:r>
        <w:rPr>
          <w:b/>
          <w:bCs/>
          <w:color w:val="B4531A"/>
        </w:rPr>
        <w:t xml:space="preserve">[POLICY OWNER, TITLE]</w:t>
      </w:r>
    </w:p>
    <w:p>
      <w:pPr>
        <w:pStyle w:val="Heading1"/>
        <w:spacing w:after="120" w:before="260"/>
      </w:pPr>
      <w:r>
        <w:t xml:space="preserve">1. Purpose and scope</w:t>
      </w:r>
    </w:p>
    <w:p>
      <w:pPr>
        <w:spacing w:after="140"/>
      </w:pPr>
      <w:r>
        <w:t xml:space="preserve">This policy applies to every employee who drives on agency business. Some of what follows is a federal requirement for some drivers, and the rest is this agency’s own standard. The table says which is which, because a policy that blurs the two is a policy that cannot be defended in either direction.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Group</w:t>
            </w:r>
          </w:p>
        </w:tc>
        <w:tc>
          <w:tcPr>
            <w:shd w:fill="EDF2F5" w:color="EDF2F5" w:val="solid"/>
            <w:tcMar>
              <w:top w:type="dxa" w:w="80"/>
              <w:left w:type="dxa" w:w="120"/>
              <w:bottom w:type="dxa" w:w="80"/>
              <w:right w:type="dxa" w:w="120"/>
            </w:tcMar>
          </w:tcPr>
          <w:p>
            <w:r>
              <w:rPr>
                <w:b/>
                <w:bCs/>
                <w:sz w:val="20"/>
                <w:szCs w:val="20"/>
              </w:rPr>
              <w:t xml:space="preserve">Who is in it</w:t>
            </w:r>
          </w:p>
        </w:tc>
        <w:tc>
          <w:tcPr>
            <w:shd w:fill="EDF2F5" w:color="EDF2F5" w:val="solid"/>
            <w:tcMar>
              <w:top w:type="dxa" w:w="80"/>
              <w:left w:type="dxa" w:w="120"/>
              <w:bottom w:type="dxa" w:w="80"/>
              <w:right w:type="dxa" w:w="120"/>
            </w:tcMar>
          </w:tcPr>
          <w:p>
            <w:r>
              <w:rPr>
                <w:b/>
                <w:bCs/>
                <w:sz w:val="20"/>
                <w:szCs w:val="20"/>
              </w:rPr>
              <w:t xml:space="preserve">What reaches them, and under which rule</w:t>
            </w:r>
          </w:p>
        </w:tc>
      </w:tr>
      <w:tr>
        <w:trPr>
          <w:tblHeader w:val="false"/>
        </w:trPr>
        <w:tc>
          <w:tcPr>
            <w:tcMar>
              <w:top w:type="dxa" w:w="80"/>
              <w:left w:type="dxa" w:w="120"/>
              <w:bottom w:type="dxa" w:w="80"/>
              <w:right w:type="dxa" w:w="120"/>
            </w:tcMar>
          </w:tcPr>
          <w:p>
            <w:r>
              <w:rPr>
                <w:b w:val="false"/>
                <w:bCs w:val="false"/>
                <w:sz w:val="20"/>
                <w:szCs w:val="20"/>
              </w:rPr>
              <w:t xml:space="preserve">Every driver on agency business</w:t>
            </w:r>
          </w:p>
        </w:tc>
        <w:tc>
          <w:tcPr>
            <w:tcMar>
              <w:top w:type="dxa" w:w="80"/>
              <w:left w:type="dxa" w:w="120"/>
              <w:bottom w:type="dxa" w:w="80"/>
              <w:right w:type="dxa" w:w="120"/>
            </w:tcMar>
          </w:tcPr>
          <w:p>
            <w:r>
              <w:rPr>
                <w:b w:val="false"/>
                <w:bCs w:val="false"/>
                <w:sz w:val="20"/>
                <w:szCs w:val="20"/>
              </w:rPr>
              <w:t xml:space="preserve">Anyone driving for </w:t>
            </w:r>
            <w:r>
              <w:rPr>
                <w:b/>
                <w:bCs/>
                <w:color w:val="B4531A"/>
                <w:sz w:val="20"/>
                <w:szCs w:val="20"/>
              </w:rPr>
              <w:t xml:space="preserve">[AGENCY]</w:t>
            </w:r>
            <w:r>
              <w:rPr>
                <w:b w:val="false"/>
                <w:bCs w:val="false"/>
                <w:sz w:val="20"/>
                <w:szCs w:val="20"/>
              </w:rPr>
              <w:t xml:space="preserve">, including in a personal vehicle</w:t>
            </w:r>
          </w:p>
        </w:tc>
        <w:tc>
          <w:tcPr>
            <w:tcMar>
              <w:top w:type="dxa" w:w="80"/>
              <w:left w:type="dxa" w:w="120"/>
              <w:bottom w:type="dxa" w:w="80"/>
              <w:right w:type="dxa" w:w="120"/>
            </w:tcMar>
          </w:tcPr>
          <w:p>
            <w:r>
              <w:rPr>
                <w:b w:val="false"/>
                <w:bCs w:val="false"/>
                <w:sz w:val="20"/>
                <w:szCs w:val="20"/>
              </w:rPr>
              <w:t xml:space="preserve">This policy. No federal motor carrier rule reaches a light-duty driver on its own.</w:t>
            </w:r>
          </w:p>
        </w:tc>
      </w:tr>
      <w:tr>
        <w:trPr>
          <w:tblHeader w:val="false"/>
        </w:trPr>
        <w:tc>
          <w:tcPr>
            <w:tcMar>
              <w:top w:type="dxa" w:w="80"/>
              <w:left w:type="dxa" w:w="120"/>
              <w:bottom w:type="dxa" w:w="80"/>
              <w:right w:type="dxa" w:w="120"/>
            </w:tcMar>
          </w:tcPr>
          <w:p>
            <w:r>
              <w:rPr>
                <w:b w:val="false"/>
                <w:bCs w:val="false"/>
                <w:sz w:val="20"/>
                <w:szCs w:val="20"/>
              </w:rPr>
              <w:t xml:space="preserve">Drivers of commercial motor vehicles</w:t>
            </w:r>
          </w:p>
        </w:tc>
        <w:tc>
          <w:tcPr>
            <w:tcMar>
              <w:top w:type="dxa" w:w="80"/>
              <w:left w:type="dxa" w:w="120"/>
              <w:bottom w:type="dxa" w:w="80"/>
              <w:right w:type="dxa" w:w="120"/>
            </w:tcMar>
          </w:tcPr>
          <w:p>
            <w:r>
              <w:rPr>
                <w:b w:val="false"/>
                <w:bCs w:val="false"/>
                <w:sz w:val="20"/>
                <w:szCs w:val="20"/>
              </w:rPr>
              <w:t xml:space="preserve">Vehicles meeting the 49 CFR 390.5 definition — a rating test, not a size impression</w:t>
            </w:r>
          </w:p>
        </w:tc>
        <w:tc>
          <w:tcPr>
            <w:tcMar>
              <w:top w:type="dxa" w:w="80"/>
              <w:left w:type="dxa" w:w="120"/>
              <w:bottom w:type="dxa" w:w="80"/>
              <w:right w:type="dxa" w:w="120"/>
            </w:tcMar>
          </w:tcPr>
          <w:p>
            <w:r>
              <w:rPr>
                <w:b w:val="false"/>
                <w:bCs w:val="false"/>
                <w:sz w:val="20"/>
                <w:szCs w:val="20"/>
              </w:rPr>
              <w:t xml:space="preserve">Driver qualification file, annual driving record inquiry and review, accident register — 49 CFR Parts 390 and 391.</w:t>
            </w:r>
          </w:p>
        </w:tc>
      </w:tr>
      <w:tr>
        <w:trPr>
          <w:tblHeader w:val="false"/>
        </w:trPr>
        <w:tc>
          <w:tcPr>
            <w:tcMar>
              <w:top w:type="dxa" w:w="80"/>
              <w:left w:type="dxa" w:w="120"/>
              <w:bottom w:type="dxa" w:w="80"/>
              <w:right w:type="dxa" w:w="120"/>
            </w:tcMar>
          </w:tcPr>
          <w:p>
            <w:r>
              <w:rPr>
                <w:b w:val="false"/>
                <w:bCs w:val="false"/>
                <w:sz w:val="20"/>
                <w:szCs w:val="20"/>
              </w:rPr>
              <w:t xml:space="preserve">Drivers of vehicles requiring a commercial driver licence</w:t>
            </w:r>
          </w:p>
        </w:tc>
        <w:tc>
          <w:tcPr>
            <w:tcMar>
              <w:top w:type="dxa" w:w="80"/>
              <w:left w:type="dxa" w:w="120"/>
              <w:bottom w:type="dxa" w:w="80"/>
              <w:right w:type="dxa" w:w="120"/>
            </w:tcMar>
          </w:tcPr>
          <w:p>
            <w:r>
              <w:rPr>
                <w:b w:val="false"/>
                <w:bCs w:val="false"/>
                <w:sz w:val="20"/>
                <w:szCs w:val="20"/>
              </w:rPr>
              <w:t xml:space="preserve">Anyone whose vehicle requires a commercial driver licence</w:t>
            </w:r>
          </w:p>
        </w:tc>
        <w:tc>
          <w:tcPr>
            <w:tcMar>
              <w:top w:type="dxa" w:w="80"/>
              <w:left w:type="dxa" w:w="120"/>
              <w:bottom w:type="dxa" w:w="80"/>
              <w:right w:type="dxa" w:w="120"/>
            </w:tcMar>
          </w:tcPr>
          <w:p>
            <w:r>
              <w:rPr>
                <w:b w:val="false"/>
                <w:bCs w:val="false"/>
                <w:sz w:val="20"/>
                <w:szCs w:val="20"/>
              </w:rPr>
              <w:t xml:space="preserve">Drug and alcohol programme and Clearinghouse queries — 49 CFR Part 382.</w:t>
            </w:r>
          </w:p>
        </w:tc>
      </w:tr>
      <w:tr>
        <w:trPr>
          <w:tblHeader w:val="false"/>
        </w:trPr>
        <w:tc>
          <w:tcPr>
            <w:tcMar>
              <w:top w:type="dxa" w:w="80"/>
              <w:left w:type="dxa" w:w="120"/>
              <w:bottom w:type="dxa" w:w="80"/>
              <w:right w:type="dxa" w:w="120"/>
            </w:tcMar>
          </w:tcPr>
          <w:p>
            <w:r>
              <w:rPr>
                <w:b w:val="false"/>
                <w:bCs w:val="false"/>
                <w:sz w:val="20"/>
                <w:szCs w:val="20"/>
              </w:rPr>
              <w:t xml:space="preserve">If </w:t>
            </w:r>
            <w:r>
              <w:rPr>
                <w:b/>
                <w:bCs/>
                <w:color w:val="B4531A"/>
                <w:sz w:val="20"/>
                <w:szCs w:val="20"/>
              </w:rPr>
              <w:t xml:space="preserve">[AGENCY]</w:t>
            </w:r>
            <w:r>
              <w:rPr>
                <w:b w:val="false"/>
                <w:bCs w:val="false"/>
                <w:sz w:val="20"/>
                <w:szCs w:val="20"/>
              </w:rPr>
              <w:t xml:space="preserve"> is a State or a political subdivision</w:t>
            </w:r>
          </w:p>
        </w:tc>
        <w:tc>
          <w:tcPr>
            <w:tcMar>
              <w:top w:type="dxa" w:w="80"/>
              <w:left w:type="dxa" w:w="120"/>
              <w:bottom w:type="dxa" w:w="80"/>
              <w:right w:type="dxa" w:w="120"/>
            </w:tcMar>
          </w:tcPr>
          <w:p>
            <w:r>
              <w:rPr>
                <w:b w:val="false"/>
                <w:bCs w:val="false"/>
                <w:sz w:val="20"/>
                <w:szCs w:val="20"/>
              </w:rPr>
              <w:t xml:space="preserve">A city, county, township or district</w:t>
            </w:r>
          </w:p>
        </w:tc>
        <w:tc>
          <w:tcPr>
            <w:tcMar>
              <w:top w:type="dxa" w:w="80"/>
              <w:left w:type="dxa" w:w="120"/>
              <w:bottom w:type="dxa" w:w="80"/>
              <w:right w:type="dxa" w:w="120"/>
            </w:tcMar>
          </w:tcPr>
          <w:p>
            <w:r>
              <w:rPr>
                <w:b w:val="false"/>
                <w:bCs w:val="false"/>
                <w:sz w:val="20"/>
                <w:szCs w:val="20"/>
              </w:rPr>
              <w:t xml:space="preserve">49 CFR 390.3(f)(2) excepts that transportation from subchapter B, so Parts 390 and 391 reach you federally only through your State’s adoption of the rules. 49 CFR 383.3(b) and 382.103(c) both say that exception does not extend to the commercial driver licence rules or the drug and alcohol programme.</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Do not copy the commercial motor vehicle column onto every driver. A policy that tells a light-duty driver they are subject to a rule that does not reach them is a policy your employee representative will take apart, and 49 CFR 390.3(d) already lets you impose a stricter standard without pretending it is federal.</w:t>
            </w:r>
          </w:p>
          <w:p>
            <w:pPr>
              <w:spacing w:after="50"/>
            </w:pPr>
            <w:r>
              <w:rPr>
                <w:sz w:val="18"/>
                <w:szCs w:val="18"/>
              </w:rPr>
              <w:t xml:space="preserve">Check your State’s adoption of the federal rules before you fill the last row in, and write down where you read it.</w:t>
            </w:r>
          </w:p>
        </w:tc>
      </w:tr>
    </w:tbl>
    <w:p>
      <w:pPr>
        <w:pStyle w:val="Heading1"/>
        <w:spacing w:after="120" w:before="260"/>
      </w:pPr>
      <w:r>
        <w:t xml:space="preserve">2. Authorised drivers and vehicle assignment</w:t>
      </w:r>
    </w:p>
    <w:p>
      <w:pPr>
        <w:pStyle w:val="ListParagraph"/>
        <w:numPr>
          <w:ilvl w:val="0"/>
          <w:numId w:val="1"/>
        </w:numPr>
        <w:spacing w:after="60"/>
      </w:pPr>
      <w:r>
        <w:t xml:space="preserve">Only employees authorised in writing by [POSITION] may operate agency vehicles.</w:t>
      </w:r>
    </w:p>
    <w:p>
      <w:pPr>
        <w:pStyle w:val="ListParagraph"/>
        <w:numPr>
          <w:ilvl w:val="0"/>
          <w:numId w:val="1"/>
        </w:numPr>
        <w:spacing w:after="60"/>
      </w:pPr>
      <w:r>
        <w:t xml:space="preserve">Licence class required per vehicle class: [LIST BY CLASS].</w:t>
      </w:r>
    </w:p>
    <w:p>
      <w:pPr>
        <w:pStyle w:val="ListParagraph"/>
        <w:numPr>
          <w:ilvl w:val="0"/>
          <w:numId w:val="1"/>
        </w:numPr>
        <w:spacing w:after="60"/>
      </w:pPr>
      <w:r>
        <w:t xml:space="preserve">Authorisation requires a valid licence of the required class, a completed driver agreement, and a driving record reviewed under section 9.</w:t>
      </w:r>
    </w:p>
    <w:p>
      <w:pPr>
        <w:pStyle w:val="ListParagraph"/>
        <w:numPr>
          <w:ilvl w:val="0"/>
          <w:numId w:val="1"/>
        </w:numPr>
        <w:spacing w:after="60"/>
      </w:pPr>
      <w:r>
        <w:t xml:space="preserve">Authorisation is revoked on licence suspension, revocation, or a determination under section 12 — [POSITION] revokes, in writing, effective immediately.</w:t>
      </w:r>
    </w:p>
    <w:p>
      <w:pPr>
        <w:pStyle w:val="Heading1"/>
        <w:spacing w:after="120" w:before="260"/>
      </w:pPr>
      <w:r>
        <w:t xml:space="preserve">3. Personal use</w:t>
      </w:r>
    </w:p>
    <w:p>
      <w:pPr>
        <w:pStyle w:val="ListParagraph"/>
        <w:numPr>
          <w:ilvl w:val="0"/>
          <w:numId w:val="1"/>
        </w:numPr>
        <w:spacing w:after="60"/>
      </w:pPr>
      <w:r>
        <w:t xml:space="preserve">Personal use of an agency vehicle is [permitted / not permitted]. Commuting is [permitted / not permitted], subject to [TAX TREATMENT].</w:t>
      </w:r>
    </w:p>
    <w:p>
      <w:pPr>
        <w:pStyle w:val="ListParagraph"/>
        <w:numPr>
          <w:ilvl w:val="0"/>
          <w:numId w:val="1"/>
        </w:numPr>
        <w:spacing w:after="60"/>
      </w:pPr>
      <w:r>
        <w:t xml:space="preserve">Vehicles are for agency business. Any exception is authorised in writing by [POSITION] and recorded.</w:t>
      </w:r>
    </w:p>
    <w:p>
      <w:pPr>
        <w:pStyle w:val="Heading1"/>
        <w:spacing w:after="120" w:before="260"/>
      </w:pPr>
      <w:r>
        <w:t xml:space="preserve">4. Passengers</w:t>
      </w:r>
    </w:p>
    <w:p>
      <w:pPr>
        <w:pStyle w:val="ListParagraph"/>
        <w:numPr>
          <w:ilvl w:val="0"/>
          <w:numId w:val="1"/>
        </w:numPr>
        <w:spacing w:after="60"/>
      </w:pPr>
      <w:r>
        <w:t xml:space="preserve">Only employees and persons on agency business may ride in an agency vehicle.</w:t>
      </w:r>
    </w:p>
    <w:p>
      <w:pPr>
        <w:pStyle w:val="ListParagraph"/>
        <w:numPr>
          <w:ilvl w:val="0"/>
          <w:numId w:val="1"/>
        </w:numPr>
        <w:spacing w:after="60"/>
      </w:pPr>
      <w:r>
        <w:t xml:space="preserve">Family members and members of the public may not ride, except [NAMED EXCEPTIONS, e.g. approved ride-alongs].</w:t>
      </w:r>
    </w:p>
    <w:p>
      <w:pPr>
        <w:pStyle w:val="Heading1"/>
        <w:spacing w:after="120" w:before="260"/>
      </w:pPr>
      <w:r>
        <w:t xml:space="preserve">5. Seat belts</w:t>
      </w:r>
    </w:p>
    <w:p>
      <w:pPr>
        <w:spacing w:after="140"/>
      </w:pPr>
      <w:r>
        <w:t xml:space="preserve">Every occupant wears a seat belt, in every seating position, on every trip, including in the yard and on private property. The driver does not move the vehicle until every occupant is belted.</w:t>
      </w:r>
    </w:p>
    <w:p>
      <w:pPr>
        <w:pStyle w:val="Heading1"/>
        <w:spacing w:after="120" w:before="260"/>
      </w:pPr>
      <w:r>
        <w:t xml:space="preserve">6. Distracted driving and the phone rule</w:t>
      </w:r>
    </w:p>
    <w:p>
      <w:pPr>
        <w:pStyle w:val="ListParagraph"/>
        <w:numPr>
          <w:ilvl w:val="0"/>
          <w:numId w:val="1"/>
        </w:numPr>
        <w:spacing w:after="60"/>
      </w:pPr>
      <w:r>
        <w:t xml:space="preserve">No handheld use of a phone or other device while the vehicle is in motion — no calls, no texting, no reading, no dialling.</w:t>
      </w:r>
    </w:p>
    <w:p>
      <w:pPr>
        <w:pStyle w:val="ListParagraph"/>
        <w:numPr>
          <w:ilvl w:val="0"/>
          <w:numId w:val="1"/>
        </w:numPr>
        <w:spacing w:after="60"/>
      </w:pPr>
      <w:r>
        <w:t xml:space="preserve">Hands-free use is [permitted / not permitted] while in motion.</w:t>
      </w:r>
    </w:p>
    <w:p>
      <w:pPr>
        <w:pStyle w:val="ListParagraph"/>
        <w:numPr>
          <w:ilvl w:val="0"/>
          <w:numId w:val="1"/>
        </w:numPr>
        <w:spacing w:after="60"/>
      </w:pPr>
      <w:r>
        <w:t xml:space="preserve">Navigation and route information are set before the vehicle moves. If it must change, stop.</w:t>
      </w:r>
    </w:p>
    <w:p>
      <w:pPr>
        <w:pStyle w:val="ListParagraph"/>
        <w:numPr>
          <w:ilvl w:val="0"/>
          <w:numId w:val="1"/>
        </w:numPr>
        <w:spacing w:after="60"/>
      </w:pPr>
      <w:r>
        <w:t xml:space="preserve">The rule applies to the two-way radio as well: acknowledge, then pull over for anything longer.</w:t>
      </w:r>
    </w:p>
    <w:p>
      <w:pPr>
        <w:pStyle w:val="ListParagraph"/>
        <w:numPr>
          <w:ilvl w:val="0"/>
          <w:numId w:val="1"/>
        </w:numPr>
        <w:spacing w:after="60"/>
      </w:pPr>
      <w:r>
        <w:t xml:space="preserve">Nobody at [AGENCY] expects a call or message to be answered while driving. That expectation is stated here so no supervisor can create a different one.</w:t>
      </w:r>
    </w:p>
    <w:p>
      <w:pPr>
        <w:pStyle w:val="Heading1"/>
        <w:spacing w:after="120" w:before="260"/>
      </w:pPr>
      <w:r>
        <w:t xml:space="preserve">7. Impairment</w:t>
      </w:r>
    </w:p>
    <w:p>
      <w:pPr>
        <w:pStyle w:val="ListParagraph"/>
        <w:numPr>
          <w:ilvl w:val="0"/>
          <w:numId w:val="1"/>
        </w:numPr>
        <w:spacing w:after="60"/>
      </w:pPr>
      <w:r>
        <w:t xml:space="preserve">No driver operates an agency vehicle while impaired by alcohol, a controlled substance, or a prescription or over-the-counter medication carrying a warning about operating machinery.</w:t>
      </w:r>
    </w:p>
    <w:p>
      <w:pPr>
        <w:pStyle w:val="ListParagraph"/>
        <w:numPr>
          <w:ilvl w:val="0"/>
          <w:numId w:val="1"/>
        </w:numPr>
        <w:spacing w:after="60"/>
      </w:pPr>
      <w:r>
        <w:t xml:space="preserve">A driver taking any medication carrying such a warning tells [POSITION] before driving. This is a fitness conversation, not a disciplinary one.</w:t>
      </w:r>
    </w:p>
    <w:p>
      <w:pPr>
        <w:spacing w:after="140"/>
      </w:pPr>
      <w:r>
        <w:t xml:space="preserve">Relationship to the federal testing programme, stated precisely: 49 CFR 382.103(a) applies Part 382 to drivers of vehicles requiring a commercial driver licence, and 382.103(c) states that the 390.3(f) exceptions do not apply to that part — so it reaches a State or political subdivision regardless. Under 49 CFR 382.701(a) and (b) those drivers need a pre-employment full Clearinghouse query and at least one query a year thereafter. Everything this agency applies to drivers outside that group is agency policy.</w:t>
      </w:r>
    </w:p>
    <w:p>
      <w:pPr>
        <w:pStyle w:val="Heading1"/>
        <w:spacing w:after="120" w:before="260"/>
      </w:pPr>
      <w:r>
        <w:t xml:space="preserve">8. Fatigue and maximum shift</w:t>
      </w:r>
    </w:p>
    <w:p>
      <w:pPr>
        <w:pStyle w:val="ListParagraph"/>
        <w:numPr>
          <w:ilvl w:val="0"/>
          <w:numId w:val="1"/>
        </w:numPr>
        <w:spacing w:after="60"/>
      </w:pPr>
      <w:r>
        <w:t xml:space="preserve">Maximum consecutive hours driving: [MAX HOURS]. Maximum shift including non-driving work: [MAX SHIFT].</w:t>
      </w:r>
    </w:p>
    <w:p>
      <w:pPr>
        <w:pStyle w:val="ListParagraph"/>
        <w:numPr>
          <w:ilvl w:val="0"/>
          <w:numId w:val="1"/>
        </w:numPr>
        <w:spacing w:after="60"/>
      </w:pPr>
      <w:r>
        <w:t xml:space="preserve">During a declared storm or emergency event, [POSITION] may extend a shift to [STORM MAX] with a documented rest break of [BREAK] after [HOURS].</w:t>
      </w:r>
    </w:p>
    <w:p>
      <w:pPr>
        <w:pStyle w:val="ListParagraph"/>
        <w:numPr>
          <w:ilvl w:val="0"/>
          <w:numId w:val="1"/>
        </w:numPr>
        <w:spacing w:after="60"/>
      </w:pPr>
      <w:r>
        <w:t xml:space="preserve">A driver who is not fit to drive says so, and is not penalised for saying so. That is a stated obligation, not a courtesy.</w:t>
      </w:r>
    </w:p>
    <w:p>
      <w:pPr>
        <w:pStyle w:val="Heading1"/>
        <w:spacing w:after="120" w:before="260"/>
      </w:pPr>
      <w:r>
        <w:t xml:space="preserve">9. Driving record consent, monitoring cadence and self-reporting</w:t>
      </w:r>
    </w:p>
    <w:p>
      <w:pPr>
        <w:pStyle w:val="ListParagraph"/>
        <w:numPr>
          <w:ilvl w:val="0"/>
          <w:numId w:val="1"/>
        </w:numPr>
        <w:spacing w:after="60"/>
      </w:pPr>
      <w:r>
        <w:t xml:space="preserve">Every driver consents in writing, at hire and annually, to [AGENCY] obtaining their driving record.</w:t>
      </w:r>
    </w:p>
    <w:p>
      <w:pPr>
        <w:pStyle w:val="ListParagraph"/>
        <w:numPr>
          <w:ilvl w:val="0"/>
          <w:numId w:val="1"/>
        </w:numPr>
        <w:spacing w:after="60"/>
      </w:pPr>
      <w:r>
        <w:t xml:space="preserve">Records are obtained and reviewed at least every 12 months. For drivers of commercial motor vehicles that cadence is 49 CFR 391.25(a) and (b); for every other driver it is this policy, and the file records which.</w:t>
      </w:r>
    </w:p>
    <w:p>
      <w:pPr>
        <w:pStyle w:val="ListParagraph"/>
        <w:numPr>
          <w:ilvl w:val="0"/>
          <w:numId w:val="1"/>
        </w:numPr>
        <w:spacing w:after="60"/>
      </w:pPr>
      <w:r>
        <w:t xml:space="preserve">The reviewer’s name and the date of the review are recorded with the record itself — 49 CFR 391.25(c)(2) requires the dated note, not just the record.</w:t>
      </w:r>
    </w:p>
    <w:p>
      <w:pPr>
        <w:pStyle w:val="ListParagraph"/>
        <w:numPr>
          <w:ilvl w:val="0"/>
          <w:numId w:val="1"/>
        </w:numPr>
        <w:spacing w:after="60"/>
      </w:pPr>
      <w:r>
        <w:t xml:space="preserve">Where the licensing authority offers continuous monitoring, [AGENCY] enrols in it: [PROGRAM NAME]. An annual pull means a suspension in February is found in November.</w:t>
      </w:r>
    </w:p>
    <w:p>
      <w:pPr>
        <w:pStyle w:val="ListParagraph"/>
        <w:numPr>
          <w:ilvl w:val="0"/>
          <w:numId w:val="1"/>
        </w:numPr>
        <w:spacing w:after="60"/>
      </w:pPr>
      <w:r>
        <w:t xml:space="preserve">Self-reporting: a driver reports any citation, suspension, revocation or crash — in any vehicle, including their own — within [N] days.</w:t>
      </w:r>
    </w:p>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Set the disqualifying criteria in writing before you look at anyone’s record: how many moving violations in what window, which offences are automatic bars, how long a conviction disqualifies. Deciding after you have seen a specific person’s record is how the standard becomes elastic, and it is the first thing an employee representative will test.</w:t>
            </w:r>
          </w:p>
        </w:tc>
      </w:tr>
    </w:tbl>
    <w:p>
      <w:pPr>
        <w:pStyle w:val="Heading1"/>
        <w:spacing w:after="120" w:before="260"/>
      </w:pPr>
      <w:r>
        <w:t xml:space="preserve">10. Reportable events and the deadline</w:t>
      </w:r>
    </w:p>
    <w:p>
      <w:pPr>
        <w:pStyle w:val="ListParagraph"/>
        <w:numPr>
          <w:ilvl w:val="0"/>
          <w:numId w:val="1"/>
        </w:numPr>
        <w:spacing w:after="60"/>
      </w:pPr>
      <w:r>
        <w:t xml:space="preserve">Every crash, regardless of severity, is reported to the supervisor as soon as feasible — this follows the joint OSHA/NHTSA/NETS employer guidance, which is advisory rather than a standard.</w:t>
      </w:r>
    </w:p>
    <w:p>
      <w:pPr>
        <w:pStyle w:val="ListParagraph"/>
        <w:numPr>
          <w:ilvl w:val="0"/>
          <w:numId w:val="1"/>
        </w:numPr>
        <w:spacing w:after="60"/>
      </w:pPr>
      <w:r>
        <w:t xml:space="preserve">Reporting extends to near misses and no-damage contacts. Those are the events this policy most wants to hear about, and the ones a driver is most tempted to say nothing about.</w:t>
      </w:r>
    </w:p>
    <w:p>
      <w:pPr>
        <w:pStyle w:val="ListParagraph"/>
        <w:numPr>
          <w:ilvl w:val="0"/>
          <w:numId w:val="1"/>
        </w:numPr>
        <w:spacing w:after="60"/>
      </w:pPr>
      <w:r>
        <w:t xml:space="preserve">Written report on the incident report form before the end of shift.</w:t>
      </w:r>
    </w:p>
    <w:p>
      <w:pPr>
        <w:spacing w:after="140"/>
      </w:pPr>
      <w:r>
        <w:t xml:space="preserve">Failure to report is the disciplinable event. The incident itself is reviewed under section 11 and may or may not result in any response at all. This distinction is the single most important sentence in this policy.</w:t>
      </w:r>
    </w:p>
    <w:p>
      <w:pPr>
        <w:pStyle w:val="Heading1"/>
        <w:spacing w:after="120" w:before="260"/>
      </w:pPr>
      <w:r>
        <w:t xml:space="preserve">11. Accident review board</w:t>
      </w:r>
    </w:p>
    <w:p>
      <w:pPr>
        <w:pStyle w:val="ListParagraph"/>
        <w:numPr>
          <w:ilvl w:val="0"/>
          <w:numId w:val="1"/>
        </w:numPr>
        <w:spacing w:after="60"/>
      </w:pPr>
      <w:r>
        <w:t xml:space="preserve">Membership: fleet, the operating department, safety or risk, and a driver representative. The driver seat is why drivers accept outcomes.</w:t>
      </w:r>
    </w:p>
    <w:p>
      <w:pPr>
        <w:pStyle w:val="ListParagraph"/>
        <w:numPr>
          <w:ilvl w:val="0"/>
          <w:numId w:val="1"/>
        </w:numPr>
        <w:spacing w:after="60"/>
      </w:pPr>
      <w:r>
        <w:t xml:space="preserve">Timeline: a determination within [30] days of the report. An open determination decays; witnesses forget and the record closes badly.</w:t>
      </w:r>
    </w:p>
    <w:p>
      <w:pPr>
        <w:pStyle w:val="ListParagraph"/>
        <w:numPr>
          <w:ilvl w:val="0"/>
          <w:numId w:val="1"/>
        </w:numPr>
        <w:spacing w:after="60"/>
      </w:pPr>
      <w:r>
        <w:t xml:space="preserve">Evidence considered: the incident report, photographs, the scene diagram, any police or insurer report, telematics where fitted, and the driver’s own account.</w:t>
      </w:r>
    </w:p>
    <w:p>
      <w:pPr>
        <w:pStyle w:val="ListParagraph"/>
        <w:numPr>
          <w:ilvl w:val="0"/>
          <w:numId w:val="1"/>
        </w:numPr>
        <w:spacing w:after="60"/>
      </w:pPr>
      <w:r>
        <w:t xml:space="preserve">The driver may attend, may bring a representative, and may appeal a determination to [POSITION] within [N] days.</w:t>
      </w:r>
    </w:p>
    <w:p>
      <w:pPr>
        <w:pStyle w:val="ListParagraph"/>
        <w:numPr>
          <w:ilvl w:val="0"/>
          <w:numId w:val="1"/>
        </w:numPr>
        <w:spacing w:after="60"/>
      </w:pPr>
      <w:r>
        <w:t xml:space="preserve">A member with a personal or supervisory interest in the event recuses.</w:t>
      </w:r>
    </w:p>
    <w:p>
      <w:pPr>
        <w:spacing w:after="140"/>
      </w:pPr>
      <w:r>
        <w:t xml:space="preserve">Definition of preventable, adopted from 49 CFR 385.3 and quoted in full: a preventable accident "on the part of a motor carrier means an accident (1) that involved a commercial motor vehicle, and (2) that could have been averted but for an act, or failure to act, by the motor carrier or the driver."</w:t>
      </w:r>
    </w:p>
    <w:p>
      <w:pPr>
        <w:spacing w:after="120"/>
      </w:pPr>
      <w:r>
        <w:rPr>
          <w:i/>
          <w:iCs/>
          <w:sz w:val="18"/>
          <w:szCs w:val="18"/>
        </w:rPr>
        <w:t xml:space="preserve">That definition does not govern an internal board. Adopting it costs nothing and gives you a citation, and it is deliberately wider than legal fault: a driver rear-ended at a stop can be blameless in law and still draw a preventable determination if following distance contributed. Findings feed training. If the only output is a disciplinary letter, drivers contest everything, report less, and the board produces no safety improvement at all.</w:t>
      </w:r>
    </w:p>
    <w:p>
      <w:pPr>
        <w:pStyle w:val="Heading1"/>
        <w:spacing w:after="120" w:before="260"/>
      </w:pPr>
      <w:r>
        <w:t xml:space="preserve">12. Progressive response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Step</w:t>
            </w:r>
          </w:p>
        </w:tc>
        <w:tc>
          <w:tcPr>
            <w:shd w:fill="EDF2F5" w:color="EDF2F5" w:val="solid"/>
            <w:tcMar>
              <w:top w:type="dxa" w:w="80"/>
              <w:left w:type="dxa" w:w="120"/>
              <w:bottom w:type="dxa" w:w="80"/>
              <w:right w:type="dxa" w:w="120"/>
            </w:tcMar>
          </w:tcPr>
          <w:p>
            <w:r>
              <w:rPr>
                <w:b/>
                <w:bCs/>
                <w:sz w:val="20"/>
                <w:szCs w:val="20"/>
              </w:rPr>
              <w:t xml:space="preserve">Trigger</w:t>
            </w:r>
          </w:p>
        </w:tc>
        <w:tc>
          <w:tcPr>
            <w:shd w:fill="EDF2F5" w:color="EDF2F5" w:val="solid"/>
            <w:tcMar>
              <w:top w:type="dxa" w:w="80"/>
              <w:left w:type="dxa" w:w="120"/>
              <w:bottom w:type="dxa" w:w="80"/>
              <w:right w:type="dxa" w:w="120"/>
            </w:tcMar>
          </w:tcPr>
          <w:p>
            <w:r>
              <w:rPr>
                <w:b/>
                <w:bCs/>
                <w:sz w:val="20"/>
                <w:szCs w:val="20"/>
              </w:rPr>
              <w:t xml:space="preserve">Response</w:t>
            </w:r>
          </w:p>
        </w:tc>
      </w:tr>
      <w:tr>
        <w:trPr>
          <w:tblHeader w:val="false"/>
        </w:trPr>
        <w:tc>
          <w:tcPr>
            <w:tcMar>
              <w:top w:type="dxa" w:w="80"/>
              <w:left w:type="dxa" w:w="120"/>
              <w:bottom w:type="dxa" w:w="80"/>
              <w:right w:type="dxa" w:w="120"/>
            </w:tcMar>
          </w:tcPr>
          <w:p>
            <w:r>
              <w:rPr>
                <w:b w:val="false"/>
                <w:bCs w:val="false"/>
                <w:sz w:val="20"/>
                <w:szCs w:val="20"/>
              </w:rPr>
              <w:t xml:space="preserve">1</w:t>
            </w:r>
          </w:p>
        </w:tc>
        <w:tc>
          <w:tcPr>
            <w:tcMar>
              <w:top w:type="dxa" w:w="80"/>
              <w:left w:type="dxa" w:w="120"/>
              <w:bottom w:type="dxa" w:w="80"/>
              <w:right w:type="dxa" w:w="120"/>
            </w:tcMar>
          </w:tcPr>
          <w:p>
            <w:r>
              <w:rPr>
                <w:b w:val="false"/>
                <w:bCs w:val="false"/>
                <w:sz w:val="20"/>
                <w:szCs w:val="20"/>
              </w:rPr>
              <w:t xml:space="preserve">First preventable determination, no injury</w:t>
            </w:r>
          </w:p>
        </w:tc>
        <w:tc>
          <w:tcPr>
            <w:tcMar>
              <w:top w:type="dxa" w:w="80"/>
              <w:left w:type="dxa" w:w="120"/>
              <w:bottom w:type="dxa" w:w="80"/>
              <w:right w:type="dxa" w:w="120"/>
            </w:tcMar>
          </w:tcPr>
          <w:p>
            <w:r>
              <w:rPr>
                <w:b w:val="false"/>
                <w:bCs w:val="false"/>
                <w:sz w:val="20"/>
                <w:szCs w:val="20"/>
              </w:rPr>
              <w:t xml:space="preserve">Documented coaching and assigned training</w:t>
            </w:r>
          </w:p>
        </w:tc>
      </w:tr>
      <w:tr>
        <w:trPr>
          <w:tblHeader w:val="false"/>
        </w:trPr>
        <w:tc>
          <w:tcPr>
            <w:tcMar>
              <w:top w:type="dxa" w:w="80"/>
              <w:left w:type="dxa" w:w="120"/>
              <w:bottom w:type="dxa" w:w="80"/>
              <w:right w:type="dxa" w:w="120"/>
            </w:tcMar>
          </w:tcPr>
          <w:p>
            <w:r>
              <w:rPr>
                <w:b w:val="false"/>
                <w:bCs w:val="false"/>
                <w:sz w:val="20"/>
                <w:szCs w:val="20"/>
              </w:rPr>
              <w:t xml:space="preserve">2</w:t>
            </w:r>
          </w:p>
        </w:tc>
        <w:tc>
          <w:tcPr>
            <w:tcMar>
              <w:top w:type="dxa" w:w="80"/>
              <w:left w:type="dxa" w:w="120"/>
              <w:bottom w:type="dxa" w:w="80"/>
              <w:right w:type="dxa" w:w="120"/>
            </w:tcMar>
          </w:tcPr>
          <w:p>
            <w:r>
              <w:rPr>
                <w:b w:val="false"/>
                <w:bCs w:val="false"/>
                <w:sz w:val="20"/>
                <w:szCs w:val="20"/>
              </w:rPr>
              <w:t xml:space="preserve">Second within </w:t>
            </w:r>
            <w:r>
              <w:rPr>
                <w:b/>
                <w:bCs/>
                <w:color w:val="B4531A"/>
                <w:sz w:val="20"/>
                <w:szCs w:val="20"/>
              </w:rPr>
              <w:t xml:space="preserve">[PERIOD]</w:t>
            </w:r>
          </w:p>
        </w:tc>
        <w:tc>
          <w:tcPr>
            <w:tcMar>
              <w:top w:type="dxa" w:w="80"/>
              <w:left w:type="dxa" w:w="120"/>
              <w:bottom w:type="dxa" w:w="80"/>
              <w:right w:type="dxa" w:w="120"/>
            </w:tcMar>
          </w:tcPr>
          <w:p>
            <w:r>
              <w:rPr>
                <w:b w:val="false"/>
                <w:bCs w:val="false"/>
                <w:sz w:val="20"/>
                <w:szCs w:val="20"/>
              </w:rPr>
              <w:t xml:space="preserve">Written warning, retraining, and a ride-along assessment</w:t>
            </w:r>
          </w:p>
        </w:tc>
      </w:tr>
      <w:tr>
        <w:trPr>
          <w:tblHeader w:val="false"/>
        </w:trPr>
        <w:tc>
          <w:tcPr>
            <w:tcMar>
              <w:top w:type="dxa" w:w="80"/>
              <w:left w:type="dxa" w:w="120"/>
              <w:bottom w:type="dxa" w:w="80"/>
              <w:right w:type="dxa" w:w="120"/>
            </w:tcMar>
          </w:tcPr>
          <w:p>
            <w:r>
              <w:rPr>
                <w:b w:val="false"/>
                <w:bCs w:val="false"/>
                <w:sz w:val="20"/>
                <w:szCs w:val="20"/>
              </w:rPr>
              <w:t xml:space="preserve">3</w:t>
            </w:r>
          </w:p>
        </w:tc>
        <w:tc>
          <w:tcPr>
            <w:tcMar>
              <w:top w:type="dxa" w:w="80"/>
              <w:left w:type="dxa" w:w="120"/>
              <w:bottom w:type="dxa" w:w="80"/>
              <w:right w:type="dxa" w:w="120"/>
            </w:tcMar>
          </w:tcPr>
          <w:p>
            <w:r>
              <w:rPr>
                <w:b w:val="false"/>
                <w:bCs w:val="false"/>
                <w:sz w:val="20"/>
                <w:szCs w:val="20"/>
              </w:rPr>
              <w:t xml:space="preserve">Third within </w:t>
            </w:r>
            <w:r>
              <w:rPr>
                <w:b/>
                <w:bCs/>
                <w:color w:val="B4531A"/>
                <w:sz w:val="20"/>
                <w:szCs w:val="20"/>
              </w:rPr>
              <w:t xml:space="preserve">[PERIOD]</w:t>
            </w:r>
            <w:r>
              <w:rPr>
                <w:b w:val="false"/>
                <w:bCs w:val="false"/>
                <w:sz w:val="20"/>
                <w:szCs w:val="20"/>
              </w:rPr>
              <w:t xml:space="preserve">, or a serious single event</w:t>
            </w:r>
          </w:p>
        </w:tc>
        <w:tc>
          <w:tcPr>
            <w:tcMar>
              <w:top w:type="dxa" w:w="80"/>
              <w:left w:type="dxa" w:w="120"/>
              <w:bottom w:type="dxa" w:w="80"/>
              <w:right w:type="dxa" w:w="120"/>
            </w:tcMar>
          </w:tcPr>
          <w:p>
            <w:r>
              <w:rPr>
                <w:b w:val="false"/>
                <w:bCs w:val="false"/>
                <w:sz w:val="20"/>
                <w:szCs w:val="20"/>
              </w:rPr>
              <w:t xml:space="preserve">Suspension of driving authorisation pending review</w:t>
            </w:r>
          </w:p>
        </w:tc>
      </w:tr>
      <w:tr>
        <w:trPr>
          <w:tblHeader w:val="false"/>
        </w:trPr>
        <w:tc>
          <w:tcPr>
            <w:tcMar>
              <w:top w:type="dxa" w:w="80"/>
              <w:left w:type="dxa" w:w="120"/>
              <w:bottom w:type="dxa" w:w="80"/>
              <w:right w:type="dxa" w:w="120"/>
            </w:tcMar>
          </w:tcPr>
          <w:p>
            <w:r>
              <w:rPr>
                <w:b w:val="false"/>
                <w:bCs w:val="false"/>
                <w:sz w:val="20"/>
                <w:szCs w:val="20"/>
              </w:rPr>
              <w:t xml:space="preserve">4</w:t>
            </w:r>
          </w:p>
        </w:tc>
        <w:tc>
          <w:tcPr>
            <w:tcMar>
              <w:top w:type="dxa" w:w="80"/>
              <w:left w:type="dxa" w:w="120"/>
              <w:bottom w:type="dxa" w:w="80"/>
              <w:right w:type="dxa" w:w="120"/>
            </w:tcMar>
          </w:tcPr>
          <w:p>
            <w:r>
              <w:rPr>
                <w:b w:val="false"/>
                <w:bCs w:val="false"/>
                <w:sz w:val="20"/>
                <w:szCs w:val="20"/>
              </w:rPr>
              <w:t xml:space="preserve">Licence suspension, impairment, or failure to report</w:t>
            </w:r>
          </w:p>
        </w:tc>
        <w:tc>
          <w:tcPr>
            <w:tcMar>
              <w:top w:type="dxa" w:w="80"/>
              <w:left w:type="dxa" w:w="120"/>
              <w:bottom w:type="dxa" w:w="80"/>
              <w:right w:type="dxa" w:w="120"/>
            </w:tcMar>
          </w:tcPr>
          <w:p>
            <w:r>
              <w:rPr>
                <w:b w:val="false"/>
                <w:bCs w:val="false"/>
                <w:sz w:val="20"/>
                <w:szCs w:val="20"/>
              </w:rPr>
              <w:t xml:space="preserve">Immediate removal from driving duties</w:t>
            </w:r>
          </w:p>
        </w:tc>
      </w:tr>
    </w:tbl>
    <w:p>
      <w:pPr>
        <w:spacing w:after="120"/>
      </w:pPr>
      <w:r>
        <w:t xml:space="preserve"/>
      </w:r>
    </w:p>
    <w:p>
      <w:pPr>
        <w:spacing w:after="140"/>
      </w:pPr>
      <w:r>
        <w:t xml:space="preserve">The steps are applied consistently to every driver. Inconsistent enforcement is worse than no written rule, because it hands the other side a document you demonstrably ignored.</w:t>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A policy nobody signed is worth nothing in a claim. Keep the signed copy, and record the date on the Drivers sheet of the tracker.</w:t>
            </w:r>
          </w:p>
          <w:p>
            <w:pPr>
              <w:spacing w:after="50"/>
            </w:pPr>
            <w:r>
              <w:rPr>
                <w:sz w:val="18"/>
                <w:szCs w:val="18"/>
              </w:rPr>
              <w:t xml:space="preserve">"We have a phone policy" and "this driver acknowledged the phone policy on 3 November 2025" are not the same sentence.</w:t>
            </w:r>
          </w:p>
        </w:tc>
      </w:tr>
    </w:tbl>
    <w:p>
      <w:pPr>
        <w:pStyle w:val="Heading1"/>
        <w:spacing w:after="120" w:before="260"/>
      </w:pPr>
      <w:r>
        <w:t xml:space="preserve">13. Acknowledgement</w:t>
      </w:r>
    </w:p>
    <w:p>
      <w:pPr>
        <w:spacing w:after="140"/>
      </w:pPr>
      <w:r>
        <w:t xml:space="preserve">I have received and read the fleet safety policy. I understand the rules it sets, including the seat belt rule, the phone and distraction rule, the impairment rule, and my obligation to report every crash, near miss and no-damage contact, and to report any citation, suspension or revocation affecting my licence within the time this policy states. I understand that failure to report is itself a disciplinable event. I consent to my driving record being obtained at hire and at least annually.</w:t>
      </w:r>
    </w:p>
    <w:p>
      <w:pPr>
        <w:spacing w:after="20" w:before="240"/>
      </w:pPr>
      <w:r>
        <w:rPr>
          <w:b/>
          <w:bCs/>
          <w:sz w:val="20"/>
          <w:szCs w:val="20"/>
        </w:rPr>
        <w:t xml:space="preserve">Driver — name, signature, date</w:t>
      </w:r>
    </w:p>
    <w:p>
      <w:pPr>
        <w:pBdr>
          <w:bottom w:val="single" w:color="23414B" w:sz="6"/>
        </w:pBdr>
        <w:spacing w:after="160"/>
      </w:pPr>
      <w:r>
        <w:t xml:space="preserve"/>
      </w:r>
    </w:p>
    <w:p>
      <w:pPr>
        <w:spacing w:after="20" w:before="240"/>
      </w:pPr>
      <w:r>
        <w:rPr>
          <w:b/>
          <w:bCs/>
          <w:sz w:val="20"/>
          <w:szCs w:val="20"/>
        </w:rPr>
        <w:t xml:space="preserve">Received by — name, title, date</w:t>
      </w:r>
    </w:p>
    <w:p>
      <w:pPr>
        <w:pBdr>
          <w:bottom w:val="single" w:color="23414B" w:sz="6"/>
        </w:pBdr>
        <w:spacing w:after="160"/>
      </w:pPr>
      <w:r>
        <w:t xml:space="preserve"/>
      </w:r>
    </w:p>
    <w:p>
      <w:pPr>
        <w:sectPr>
          <w:pgSz w:w="11906" w:h="16838" w:orient="portrait"/>
          <w:pgMar w:top="1000" w:right="1000" w:bottom="1000" w:left="1000" w:header="708" w:footer="708" w:gutter="0"/>
          <w:pgNumType/>
          <w:docGrid w:linePitch="360"/>
        </w:sectPr>
      </w:pPr>
    </w:p>
    <w:p>
      <w:pPr>
        <w:pStyle w:val="Heading1"/>
        <w:spacing w:after="120" w:before="260"/>
      </w:pPr>
      <w:r>
        <w:t xml:space="preserve">About this template</w:t>
      </w:r>
    </w:p>
    <w:p>
      <w:pPr>
        <w:spacing w:after="140"/>
      </w:pPr>
      <w:r>
        <w:t xml:space="preserve">This template accompanies the guide "Building a fleet safety program that insurers recognise". Every bracketed value is one you supply. Nothing in it is legal advice: retention periods, monitoring rules and what may be collected from drivers vary by state, province and collective agreement.</w:t>
      </w:r>
    </w:p>
    <w:p>
      <w:pPr>
        <w:spacing w:after="140"/>
      </w:pPr>
      <w:r>
        <w:t xml:space="preserve">Guide: </w:t>
      </w:r>
      <w:r>
        <w:t xml:space="preserve">https://fleetdesk.axionfleetai.com/guides/fleet-safety-program/</w:t>
      </w:r>
    </w:p>
    <w:p>
      <w:pPr>
        <w:spacing w:after="140"/>
      </w:pPr>
      <w:r>
        <w:t xml:space="preserve">Template version 1.0 — reviewed 2026-07-29</w:t>
      </w:r>
    </w:p>
    <w:p>
      <w:pPr>
        <w:pStyle w:val="Heading2"/>
        <w:spacing w:after="120" w:before="260"/>
      </w:pPr>
      <w:r>
        <w:t xml:space="preserve">Sources</w:t>
      </w:r>
    </w:p>
    <w:p>
      <w:pPr>
        <w:pStyle w:val="ListParagraph"/>
        <w:numPr>
          <w:ilvl w:val="0"/>
          <w:numId w:val="1"/>
        </w:numPr>
        <w:spacing w:after="80"/>
      </w:pPr>
      <w:r>
        <w:rPr>
          <w:sz w:val="20"/>
          <w:szCs w:val="20"/>
        </w:rPr>
        <w:t xml:space="preserve">49 CFR 391.25 — annual inquiry and review of driving record</w:t>
      </w:r>
      <w:r>
        <w:rPr>
          <w:i/>
          <w:iCs/>
          <w:sz w:val="20"/>
          <w:szCs w:val="20"/>
        </w:rPr>
        <w:t xml:space="preserve"> — primary source</w:t>
      </w:r>
      <w:r>
        <w:rPr>
          <w:color w:val="6B7280"/>
          <w:sz w:val="16"/>
          <w:szCs w:val="16"/>
        </w:rPr>
        <w:t xml:space="preserve">  https://www.ecfr.gov/current/title-49/subtitle-B/chapter-III/subchapter-B/part-391/subpart-C/section-391.25</w:t>
      </w:r>
    </w:p>
    <w:p>
      <w:pPr>
        <w:pStyle w:val="ListParagraph"/>
        <w:numPr>
          <w:ilvl w:val="0"/>
          <w:numId w:val="1"/>
        </w:numPr>
        <w:spacing w:after="80"/>
      </w:pPr>
      <w:r>
        <w:rPr>
          <w:sz w:val="20"/>
          <w:szCs w:val="20"/>
        </w:rPr>
        <w:t xml:space="preserve">49 CFR 391.51 — driver qualification files and what may be removed after three years</w:t>
      </w:r>
      <w:r>
        <w:rPr>
          <w:i/>
          <w:iCs/>
          <w:sz w:val="20"/>
          <w:szCs w:val="20"/>
        </w:rPr>
        <w:t xml:space="preserve"> — primary source</w:t>
      </w:r>
      <w:r>
        <w:rPr>
          <w:color w:val="6B7280"/>
          <w:sz w:val="16"/>
          <w:szCs w:val="16"/>
        </w:rPr>
        <w:t xml:space="preserve">  https://www.ecfr.gov/current/title-49/subtitle-B/chapter-III/subchapter-B/part-391/subpart-F/section-391.51</w:t>
      </w:r>
    </w:p>
    <w:p>
      <w:pPr>
        <w:pStyle w:val="ListParagraph"/>
        <w:numPr>
          <w:ilvl w:val="0"/>
          <w:numId w:val="1"/>
        </w:numPr>
        <w:spacing w:after="80"/>
      </w:pPr>
      <w:r>
        <w:rPr>
          <w:sz w:val="20"/>
          <w:szCs w:val="20"/>
        </w:rPr>
        <w:t xml:space="preserve">49 CFR 391.23 — investigation and inquiries, including the 30-day record deadline</w:t>
      </w:r>
      <w:r>
        <w:rPr>
          <w:i/>
          <w:iCs/>
          <w:sz w:val="20"/>
          <w:szCs w:val="20"/>
        </w:rPr>
        <w:t xml:space="preserve"> — primary source</w:t>
      </w:r>
      <w:r>
        <w:rPr>
          <w:color w:val="6B7280"/>
          <w:sz w:val="16"/>
          <w:szCs w:val="16"/>
        </w:rPr>
        <w:t xml:space="preserve">  https://www.ecfr.gov/current/title-49/subtitle-B/chapter-III/subchapter-B/part-391/subpart-C/section-391.23</w:t>
      </w:r>
    </w:p>
    <w:p>
      <w:pPr>
        <w:pStyle w:val="ListParagraph"/>
        <w:numPr>
          <w:ilvl w:val="0"/>
          <w:numId w:val="1"/>
        </w:numPr>
        <w:spacing w:after="80"/>
      </w:pPr>
      <w:r>
        <w:rPr>
          <w:sz w:val="20"/>
          <w:szCs w:val="20"/>
        </w:rPr>
        <w:t xml:space="preserve">49 CFR 390.15(b) — accident register, and the six elements it must contain</w:t>
      </w:r>
      <w:r>
        <w:rPr>
          <w:i/>
          <w:iCs/>
          <w:sz w:val="20"/>
          <w:szCs w:val="20"/>
        </w:rPr>
        <w:t xml:space="preserve"> — primary source</w:t>
      </w:r>
      <w:r>
        <w:rPr>
          <w:color w:val="6B7280"/>
          <w:sz w:val="16"/>
          <w:szCs w:val="16"/>
        </w:rPr>
        <w:t xml:space="preserve">  https://www.ecfr.gov/current/title-49/subtitle-B/chapter-III/subchapter-B/part-390/subpart-B/section-390.15</w:t>
      </w:r>
    </w:p>
    <w:p>
      <w:pPr>
        <w:pStyle w:val="ListParagraph"/>
        <w:numPr>
          <w:ilvl w:val="0"/>
          <w:numId w:val="1"/>
        </w:numPr>
        <w:spacing w:after="80"/>
      </w:pPr>
      <w:r>
        <w:rPr>
          <w:sz w:val="20"/>
          <w:szCs w:val="20"/>
        </w:rPr>
        <w:t xml:space="preserve">49 CFR 390.5 — definition of accident: fatality, treatment away from the scene, or a tow</w:t>
      </w:r>
      <w:r>
        <w:rPr>
          <w:i/>
          <w:iCs/>
          <w:sz w:val="20"/>
          <w:szCs w:val="20"/>
        </w:rPr>
        <w:t xml:space="preserve"> — primary source</w:t>
      </w:r>
      <w:r>
        <w:rPr>
          <w:color w:val="6B7280"/>
          <w:sz w:val="16"/>
          <w:szCs w:val="16"/>
        </w:rPr>
        <w:t xml:space="preserve">  https://www.ecfr.gov/current/title-49/subtitle-B/chapter-III/subchapter-B/part-390/subpart-A/section-390.5</w:t>
      </w:r>
    </w:p>
    <w:p>
      <w:pPr>
        <w:pStyle w:val="ListParagraph"/>
        <w:numPr>
          <w:ilvl w:val="0"/>
          <w:numId w:val="1"/>
        </w:numPr>
        <w:spacing w:after="80"/>
      </w:pPr>
      <w:r>
        <w:rPr>
          <w:sz w:val="20"/>
          <w:szCs w:val="20"/>
        </w:rPr>
        <w:t xml:space="preserve">49 CFR 385.3 — regulatory definition of a preventable accident</w:t>
      </w:r>
      <w:r>
        <w:rPr>
          <w:i/>
          <w:iCs/>
          <w:sz w:val="20"/>
          <w:szCs w:val="20"/>
        </w:rPr>
        <w:t xml:space="preserve"> — primary source</w:t>
      </w:r>
      <w:r>
        <w:rPr>
          <w:color w:val="6B7280"/>
          <w:sz w:val="16"/>
          <w:szCs w:val="16"/>
        </w:rPr>
        <w:t xml:space="preserve">  https://www.ecfr.gov/current/title-49/subtitle-B/chapter-III/subchapter-B/part-385/subpart-A/section-385.3</w:t>
      </w:r>
    </w:p>
    <w:p>
      <w:pPr>
        <w:pStyle w:val="ListParagraph"/>
        <w:numPr>
          <w:ilvl w:val="0"/>
          <w:numId w:val="1"/>
        </w:numPr>
        <w:spacing w:after="80"/>
      </w:pPr>
      <w:r>
        <w:rPr>
          <w:sz w:val="20"/>
          <w:szCs w:val="20"/>
        </w:rPr>
        <w:t xml:space="preserve">49 CFR 382.701 — Clearinghouse queries, limited and full, and the 3-year query record</w:t>
      </w:r>
      <w:r>
        <w:rPr>
          <w:i/>
          <w:iCs/>
          <w:sz w:val="20"/>
          <w:szCs w:val="20"/>
        </w:rPr>
        <w:t xml:space="preserve"> — primary source</w:t>
      </w:r>
      <w:r>
        <w:rPr>
          <w:color w:val="6B7280"/>
          <w:sz w:val="16"/>
          <w:szCs w:val="16"/>
        </w:rPr>
        <w:t xml:space="preserve">  https://www.ecfr.gov/current/title-49/subtitle-B/chapter-III/subchapter-B/part-382/subpart-G/section-382.701</w:t>
      </w:r>
    </w:p>
    <w:p>
      <w:pPr>
        <w:pStyle w:val="ListParagraph"/>
        <w:numPr>
          <w:ilvl w:val="0"/>
          <w:numId w:val="1"/>
        </w:numPr>
        <w:spacing w:after="80"/>
      </w:pPr>
      <w:r>
        <w:rPr>
          <w:sz w:val="20"/>
          <w:szCs w:val="20"/>
        </w:rPr>
        <w:t xml:space="preserve">49 CFR 390.3 — general applicability. Paragraph (f)(2) excepts transportation performed by a State or a political subdivision; paragraph (d) preserves your right to be stricter</w:t>
      </w:r>
      <w:r>
        <w:rPr>
          <w:i/>
          <w:iCs/>
          <w:sz w:val="20"/>
          <w:szCs w:val="20"/>
        </w:rPr>
        <w:t xml:space="preserve"> — primary source</w:t>
      </w:r>
      <w:r>
        <w:rPr>
          <w:color w:val="6B7280"/>
          <w:sz w:val="16"/>
          <w:szCs w:val="16"/>
        </w:rPr>
        <w:t xml:space="preserve">  https://www.ecfr.gov/current/title-49/subtitle-B/chapter-III/subchapter-B/part-390/subpart-A/section-390.3</w:t>
      </w:r>
    </w:p>
    <w:p>
      <w:pPr>
        <w:pStyle w:val="ListParagraph"/>
        <w:numPr>
          <w:ilvl w:val="0"/>
          <w:numId w:val="1"/>
        </w:numPr>
        <w:spacing w:after="80"/>
      </w:pPr>
      <w:r>
        <w:rPr>
          <w:sz w:val="20"/>
          <w:szCs w:val="20"/>
        </w:rPr>
        <w:t xml:space="preserve">49 CFR 383.3(b) — the 390.3(f) exceptions do not apply to the commercial driver licence rules</w:t>
      </w:r>
      <w:r>
        <w:rPr>
          <w:i/>
          <w:iCs/>
          <w:sz w:val="20"/>
          <w:szCs w:val="20"/>
        </w:rPr>
        <w:t xml:space="preserve"> — primary source</w:t>
      </w:r>
      <w:r>
        <w:rPr>
          <w:color w:val="6B7280"/>
          <w:sz w:val="16"/>
          <w:szCs w:val="16"/>
        </w:rPr>
        <w:t xml:space="preserve">  https://www.ecfr.gov/current/title-49/subtitle-B/chapter-III/subchapter-B/part-383/subpart-A/section-383.3</w:t>
      </w:r>
    </w:p>
    <w:p>
      <w:pPr>
        <w:pStyle w:val="ListParagraph"/>
        <w:numPr>
          <w:ilvl w:val="0"/>
          <w:numId w:val="1"/>
        </w:numPr>
        <w:spacing w:after="80"/>
      </w:pPr>
      <w:r>
        <w:rPr>
          <w:sz w:val="20"/>
          <w:szCs w:val="20"/>
        </w:rPr>
        <w:t xml:space="preserve">49 CFR 382.103(c) — the same exceptions do not apply to the drug and alcohol programme</w:t>
      </w:r>
      <w:r>
        <w:rPr>
          <w:i/>
          <w:iCs/>
          <w:sz w:val="20"/>
          <w:szCs w:val="20"/>
        </w:rPr>
        <w:t xml:space="preserve"> — primary source</w:t>
      </w:r>
      <w:r>
        <w:rPr>
          <w:color w:val="6B7280"/>
          <w:sz w:val="16"/>
          <w:szCs w:val="16"/>
        </w:rPr>
        <w:t xml:space="preserve">  https://www.ecfr.gov/current/title-49/subtitle-B/chapter-III/subchapter-B/part-382/subpart-A/section-382.103</w:t>
      </w:r>
    </w:p>
    <w:p>
      <w:pPr>
        <w:pStyle w:val="ListParagraph"/>
        <w:numPr>
          <w:ilvl w:val="0"/>
          <w:numId w:val="1"/>
        </w:numPr>
        <w:spacing w:after="80"/>
      </w:pPr>
      <w:r>
        <w:rPr>
          <w:sz w:val="20"/>
          <w:szCs w:val="20"/>
        </w:rPr>
        <w:t xml:space="preserve">FMCSA — Crash Preventability Determination Program, 89 FR 96269 (4 December 2024). The final list of 21 eligible crash types, for crashes on or after 1 December 2024, not applied retroactively</w:t>
      </w:r>
      <w:r>
        <w:rPr>
          <w:i/>
          <w:iCs/>
          <w:sz w:val="20"/>
          <w:szCs w:val="20"/>
        </w:rPr>
        <w:t xml:space="preserve"> — primary source</w:t>
      </w:r>
      <w:r>
        <w:rPr>
          <w:color w:val="6B7280"/>
          <w:sz w:val="16"/>
          <w:szCs w:val="16"/>
        </w:rPr>
        <w:t xml:space="preserve">  https://www.federalregister.gov/documents/2024/12/04/2024-28377/crash-preventability-determination-program</w:t>
      </w:r>
    </w:p>
    <w:p>
      <w:pPr>
        <w:pStyle w:val="ListParagraph"/>
        <w:numPr>
          <w:ilvl w:val="0"/>
          <w:numId w:val="1"/>
        </w:numPr>
        <w:spacing w:after="80"/>
      </w:pPr>
      <w:r>
        <w:rPr>
          <w:sz w:val="20"/>
          <w:szCs w:val="20"/>
        </w:rPr>
        <w:t xml:space="preserve">OSHA / NHTSA / NETS — Guidelines for Employers to Reduce Motor Vehicle Crashes. Joint federal publication, advisory by its own disclaimer ("not a standard or regulation, and it creates no new legal obligations"), and its cost material is 2003-era</w:t>
      </w:r>
      <w:r>
        <w:rPr>
          <w:i/>
          <w:iCs/>
          <w:sz w:val="20"/>
          <w:szCs w:val="20"/>
        </w:rPr>
        <w:t xml:space="preserve"> — primary source</w:t>
      </w:r>
      <w:r>
        <w:rPr>
          <w:color w:val="6B7280"/>
          <w:sz w:val="16"/>
          <w:szCs w:val="16"/>
        </w:rPr>
        <w:t xml:space="preserve">  https://www.osha.gov/sites/default/files/publications/motor_vehicle_guide.pdf</w:t>
      </w:r>
    </w:p>
    <w:p>
      <w:pPr>
        <w:pStyle w:val="ListParagraph"/>
        <w:numPr>
          <w:ilvl w:val="0"/>
          <w:numId w:val="1"/>
        </w:numPr>
        <w:spacing w:after="80"/>
      </w:pPr>
      <w:r>
        <w:rPr>
          <w:sz w:val="20"/>
          <w:szCs w:val="20"/>
        </w:rPr>
        <w:t xml:space="preserve">OSHA — Motor vehicle safety for employers</w:t>
      </w:r>
      <w:r>
        <w:rPr>
          <w:i/>
          <w:iCs/>
          <w:sz w:val="20"/>
          <w:szCs w:val="20"/>
        </w:rPr>
        <w:t xml:space="preserve"> — primary source</w:t>
      </w:r>
      <w:r>
        <w:rPr>
          <w:color w:val="6B7280"/>
          <w:sz w:val="16"/>
          <w:szCs w:val="16"/>
        </w:rPr>
        <w:t xml:space="preserve">  https://www.osha.gov/motor-vehicle-safety/employers</w:t>
      </w:r>
    </w:p>
    <w:p>
      <w:pPr>
        <w:pStyle w:val="ListParagraph"/>
        <w:numPr>
          <w:ilvl w:val="0"/>
          <w:numId w:val="1"/>
        </w:numPr>
        <w:spacing w:after="80"/>
      </w:pPr>
      <w:r>
        <w:rPr>
          <w:sz w:val="20"/>
          <w:szCs w:val="20"/>
        </w:rPr>
        <w:t xml:space="preserve">ANSI/ASSP Z15.1-2024 — Safe Practices for Motor Vehicle Operations. Consensus standard; the document is paid and nothing in this kit is attributed to it</w:t>
      </w:r>
      <w:r>
        <w:rPr>
          <w:i/>
          <w:iCs/>
          <w:sz w:val="20"/>
          <w:szCs w:val="20"/>
        </w:rPr>
        <w:t xml:space="preserve"> — not a primary source</w:t>
      </w:r>
      <w:r>
        <w:rPr>
          <w:color w:val="6B7280"/>
          <w:sz w:val="16"/>
          <w:szCs w:val="16"/>
        </w:rPr>
        <w:t xml:space="preserve">  https://www.assp.org/standards/standards-topics/fleet-motor-vehicles-z15-1</w:t>
      </w:r>
    </w:p>
    <w:p>
      <w:pPr>
        <w:pStyle w:val="ListParagraph"/>
        <w:numPr>
          <w:ilvl w:val="0"/>
          <w:numId w:val="1"/>
        </w:numPr>
        <w:spacing w:after="80"/>
      </w:pPr>
      <w:r>
        <w:rPr>
          <w:sz w:val="20"/>
          <w:szCs w:val="20"/>
        </w:rPr>
        <w:t xml:space="preserve">National Safety Council — Collision Preventability Review. Non-profit, paid service; the other common source for a preventable definition</w:t>
      </w:r>
      <w:r>
        <w:rPr>
          <w:i/>
          <w:iCs/>
          <w:sz w:val="20"/>
          <w:szCs w:val="20"/>
        </w:rPr>
        <w:t xml:space="preserve"> — not a primary source</w:t>
      </w:r>
      <w:r>
        <w:rPr>
          <w:color w:val="6B7280"/>
          <w:sz w:val="16"/>
          <w:szCs w:val="16"/>
        </w:rPr>
        <w:t xml:space="preserve">  https://www.nsc.org/road/resources/collision-preventability-review</w:t>
      </w:r>
    </w:p>
    <w:p>
      <w:pPr>
        <w:spacing w:after="120"/>
      </w:pPr>
      <w:r>
        <w:rPr>
          <w:i/>
          <w:iCs/>
          <w:sz w:val="18"/>
          <w:szCs w:val="18"/>
        </w:rPr>
        <w:t xml:space="preserve">Method: the section order follows the ten steps of the joint OSHA/NHTSA/NETS employer guidelines, which are advisory by their own disclaimer — "not a standard or regulation, and it creates no new legal obligations". Every obligation cited in the document itself comes from the regulation cited beside it, not from the guidelines.</w:t>
      </w:r>
    </w:p>
    <w:p>
      <w:pPr>
        <w:pBdr>
          <w:top w:val="single" w:color="D0D7DC" w:sz="4"/>
        </w:pBdr>
        <w:spacing w:after="120" w:before="420"/>
      </w:pPr>
      <w:r>
        <w:t xml:space="preserve"/>
      </w:r>
    </w:p>
    <w:p>
      <w:pPr>
        <w:spacing w:after="40"/>
      </w:pPr>
      <w:r>
        <w:rPr>
          <w:color w:val="6B7280"/>
          <w:sz w:val="16"/>
          <w:szCs w:val="16"/>
        </w:rPr>
        <w:t xml:space="preserve">Published by Fleet Desk — https://fleetdesk.axionfleetai.com</w:t>
      </w:r>
    </w:p>
    <w:p>
      <w:pPr>
        <w:spacing w:after="40"/>
      </w:pPr>
      <w:r>
        <w:rPr>
          <w:color w:val="6B7280"/>
          <w:sz w:val="16"/>
          <w:szCs w:val="16"/>
        </w:rPr>
        <w:t xml:space="preserve">Free to use, adapt and distribute, including commercially. No attribution required.</w:t>
      </w:r>
    </w:p>
    <w:p>
      <w:pPr>
        <w:spacing w:after="40"/>
      </w:pPr>
      <w:r>
        <w:rPr>
          <w:color w:val="6B7280"/>
          <w:sz w:val="16"/>
          <w:szCs w:val="16"/>
        </w:rPr>
        <w:t xml:space="preserve">Sponsored by Axion (axionfleetai.com), which had no editorial control over this template.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414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80"/>
    </w:pPr>
    <w:rPr>
      <w:rFonts w:ascii="Calibri" w:cs="Calibri" w:eastAsia="Calibri" w:hAnsi="Calibri"/>
      <w:b/>
      <w:bCs/>
      <w:color w:val="23414B"/>
      <w:sz w:val="30"/>
      <w:szCs w:val="30"/>
    </w:rPr>
  </w:style>
  <w:style w:type="paragraph" w:styleId="Heading2">
    <w:name w:val="Heading 2"/>
    <w:basedOn w:val="Normal"/>
    <w:next w:val="Normal"/>
    <w:qFormat/>
    <w:pPr>
      <w:spacing w:after="100" w:before="220"/>
    </w:pPr>
    <w:rPr>
      <w:rFonts w:ascii="Calibri" w:cs="Calibri" w:eastAsia="Calibri" w:hAnsi="Calibri"/>
      <w:b/>
      <w:bCs/>
      <w:color w:val="23414B"/>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Fleet safety policy</dc:title>
  <dc:creator>Fleet Desk</dc:creator>
  <dc:description>Fleet safety policy — version 1.0</dc:description>
  <cp:lastModifiedBy>Un-named</cp:lastModifiedBy>
  <cp:revision>1</cp:revision>
  <dcterms:created xsi:type="dcterms:W3CDTF">2026-08-04T13:54:04.358Z</dcterms:created>
  <dcterms:modified xsi:type="dcterms:W3CDTF">2026-08-04T13:54:04.358Z</dcterms:modified>
</cp:coreProperties>
</file>

<file path=docProps/custom.xml><?xml version="1.0" encoding="utf-8"?>
<Properties xmlns="http://schemas.openxmlformats.org/officeDocument/2006/custom-properties" xmlns:vt="http://schemas.openxmlformats.org/officeDocument/2006/docPropsVTypes"/>
</file>