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Print pages 1 and 2 double-sided at 100%. Page 3 is not part of the form — do not print it, and delete this box before you print.</w:t>
            </w:r>
          </w:p>
          <w:p>
            <w:pPr>
              <w:spacing w:after="50"/>
            </w:pPr>
            <w:r>
              <w:rPr>
                <w:sz w:val="18"/>
                <w:szCs w:val="18"/>
              </w:rPr>
              <w:t xml:space="preserve">Keep blank copies in every vehicle. A form nobody can find at the scene is a form that gets filled in from memory a week later.</w:t>
            </w:r>
          </w:p>
        </w:tc>
      </w:tr>
    </w:tbl>
    <w:p>
      <w:pPr>
        <w:pStyle w:val="Heading1"/>
        <w:spacing w:after="40" w:before="120"/>
      </w:pPr>
      <w:r>
        <w:rPr>
          <w:b/>
          <w:bCs/>
          <w:color w:val="B4531A"/>
        </w:rPr>
        <w:t xml:space="preserve">[AGENCY NAME]</w:t>
      </w:r>
      <w:r>
        <w:t xml:space="preserve"> — Incident report</w:t>
      </w:r>
    </w:p>
    <w:p>
      <w:pPr>
        <w:spacing w:after="160"/>
      </w:pPr>
      <w:r>
        <w:rPr>
          <w:i/>
          <w:iCs/>
          <w:sz w:val="20"/>
          <w:szCs w:val="20"/>
        </w:rPr>
        <w:t xml:space="preserve">Complete at the scene. Report to your supervisor as soon as feasible — every crash, near miss and no-damage contact.</w:t>
      </w:r>
    </w:p>
    <w:p>
      <w:pPr>
        <w:pStyle w:val="Heading2"/>
        <w:spacing w:after="120" w:before="260"/>
      </w:pPr>
      <w:r>
        <w:t xml:space="preserve">Accident register elements — 49 CFR 390.15(b)(1)</w:t>
      </w:r>
    </w:p>
    <w:p>
      <w:pPr>
        <w:spacing w:after="120"/>
      </w:pPr>
      <w:r>
        <w:rPr>
          <w:i/>
          <w:iCs/>
          <w:sz w:val="18"/>
          <w:szCs w:val="18"/>
        </w:rPr>
        <w:t xml:space="preserve">These six, in this order, are what a register entry must contain. Filling them here means a completed form can be transcribed straight across without anyone deciding what goes where.</w:t>
      </w:r>
    </w:p>
    <w:p>
      <w:pPr>
        <w:spacing w:after="20" w:before="240"/>
      </w:pPr>
      <w:r>
        <w:rPr>
          <w:b/>
          <w:bCs/>
          <w:sz w:val="20"/>
          <w:szCs w:val="20"/>
        </w:rPr>
        <w:t xml:space="preserve">1. Date of accident</w:t>
      </w:r>
    </w:p>
    <w:p>
      <w:pPr>
        <w:pBdr>
          <w:bottom w:val="single" w:color="23414B" w:sz="6"/>
        </w:pBdr>
        <w:spacing w:after="160"/>
      </w:pPr>
      <w:r>
        <w:t xml:space="preserve"/>
      </w:r>
    </w:p>
    <w:p>
      <w:pPr>
        <w:spacing w:after="20" w:before="240"/>
      </w:pPr>
      <w:r>
        <w:rPr>
          <w:b/>
          <w:bCs/>
          <w:sz w:val="20"/>
          <w:szCs w:val="20"/>
        </w:rPr>
        <w:t xml:space="preserve">2. City or town, or the nearest one, and the State</w:t>
      </w:r>
    </w:p>
    <w:p>
      <w:pPr>
        <w:pBdr>
          <w:bottom w:val="single" w:color="23414B" w:sz="6"/>
        </w:pBdr>
        <w:spacing w:after="160"/>
      </w:pPr>
      <w:r>
        <w:t xml:space="preserve"/>
      </w:r>
    </w:p>
    <w:p>
      <w:pPr>
        <w:spacing w:after="20" w:before="240"/>
      </w:pPr>
      <w:r>
        <w:rPr>
          <w:b/>
          <w:bCs/>
          <w:sz w:val="20"/>
          <w:szCs w:val="20"/>
        </w:rPr>
        <w:t xml:space="preserve">3. Driver name</w:t>
      </w:r>
    </w:p>
    <w:p>
      <w:pPr>
        <w:pBdr>
          <w:bottom w:val="single" w:color="23414B" w:sz="6"/>
        </w:pBdr>
        <w:spacing w:after="160"/>
      </w:pPr>
      <w:r>
        <w:t xml:space="preserve"/>
      </w:r>
    </w:p>
    <w:p>
      <w:pPr>
        <w:spacing w:after="20" w:before="240"/>
      </w:pPr>
      <w:r>
        <w:rPr>
          <w:b/>
          <w:bCs/>
          <w:sz w:val="20"/>
          <w:szCs w:val="20"/>
        </w:rPr>
        <w:t xml:space="preserve">4. Number of injuries</w:t>
      </w:r>
    </w:p>
    <w:p>
      <w:pPr>
        <w:pBdr>
          <w:bottom w:val="single" w:color="23414B" w:sz="6"/>
        </w:pBdr>
        <w:spacing w:after="160"/>
      </w:pPr>
      <w:r>
        <w:t xml:space="preserve"/>
      </w:r>
    </w:p>
    <w:p>
      <w:pPr>
        <w:spacing w:after="20" w:before="240"/>
      </w:pPr>
      <w:r>
        <w:rPr>
          <w:b/>
          <w:bCs/>
          <w:sz w:val="20"/>
          <w:szCs w:val="20"/>
        </w:rPr>
        <w:t xml:space="preserve">5. Number of fatalities</w:t>
      </w:r>
    </w:p>
    <w:p>
      <w:pPr>
        <w:pBdr>
          <w:bottom w:val="single" w:color="23414B" w:sz="6"/>
        </w:pBdr>
        <w:spacing w:after="160"/>
      </w:pPr>
      <w:r>
        <w:t xml:space="preserve"/>
      </w:r>
    </w:p>
    <w:p>
      <w:pPr>
        <w:spacing w:after="20" w:before="240"/>
      </w:pPr>
      <w:r>
        <w:rPr>
          <w:b/>
          <w:bCs/>
          <w:sz w:val="20"/>
          <w:szCs w:val="20"/>
        </w:rPr>
        <w:t xml:space="preserve">6. Were hazardous materials released, other than fuel spilled from the fuel tanks of the vehicles involved?  Yes / No</w:t>
      </w:r>
    </w:p>
    <w:p>
      <w:pPr>
        <w:pBdr>
          <w:bottom w:val="single" w:color="23414B" w:sz="6"/>
        </w:pBdr>
        <w:spacing w:after="160"/>
      </w:pPr>
      <w:r>
        <w:t xml:space="preserve"/>
      </w:r>
    </w:p>
    <w:p>
      <w:pPr>
        <w:pStyle w:val="Heading2"/>
        <w:spacing w:after="120" w:before="260"/>
      </w:pPr>
      <w:r>
        <w:t xml:space="preserve">The rest of the scene</w:t>
      </w:r>
    </w:p>
    <w:p>
      <w:pPr>
        <w:spacing w:after="20" w:before="240"/>
      </w:pPr>
      <w:r>
        <w:rPr>
          <w:b/>
          <w:bCs/>
          <w:sz w:val="20"/>
          <w:szCs w:val="20"/>
        </w:rPr>
        <w:t xml:space="preserve">Time                                    Unit number                                    Odometer</w:t>
      </w:r>
    </w:p>
    <w:p>
      <w:pPr>
        <w:pBdr>
          <w:bottom w:val="single" w:color="23414B" w:sz="6"/>
        </w:pBdr>
        <w:spacing w:after="160"/>
      </w:pPr>
      <w:r>
        <w:t xml:space="preserve"/>
      </w:r>
    </w:p>
    <w:p>
      <w:pPr>
        <w:spacing w:after="20" w:before="240"/>
      </w:pPr>
      <w:r>
        <w:rPr>
          <w:b/>
          <w:bCs/>
          <w:sz w:val="20"/>
          <w:szCs w:val="20"/>
        </w:rPr>
        <w:t xml:space="preserve">Location detail — street, intersection, direction of travel</w:t>
      </w:r>
    </w:p>
    <w:p>
      <w:pPr>
        <w:pBdr>
          <w:bottom w:val="single" w:color="23414B" w:sz="6"/>
        </w:pBdr>
        <w:spacing w:after="160"/>
      </w:pPr>
      <w:r>
        <w:t xml:space="preserve"/>
      </w:r>
    </w:p>
    <w:p>
      <w:pPr>
        <w:spacing w:after="20" w:before="240"/>
      </w:pPr>
      <w:r>
        <w:rPr>
          <w:b/>
          <w:bCs/>
          <w:sz w:val="20"/>
          <w:szCs w:val="20"/>
        </w:rPr>
        <w:t xml:space="preserve">Weather                                    Road surface                                    Light</w:t>
      </w:r>
    </w:p>
    <w:p>
      <w:pPr>
        <w:pBdr>
          <w:bottom w:val="single" w:color="23414B" w:sz="6"/>
        </w:pBdr>
        <w:spacing w:after="160"/>
      </w:pPr>
      <w:r>
        <w:t xml:space="preserve"/>
      </w:r>
    </w:p>
    <w:p>
      <w:pPr>
        <w:spacing w:after="20" w:before="240"/>
      </w:pPr>
      <w:r>
        <w:rPr>
          <w:b/>
          <w:bCs/>
          <w:sz w:val="20"/>
          <w:szCs w:val="20"/>
        </w:rPr>
        <w:t xml:space="preserve">Other party 1 — name, address, phone</w:t>
      </w:r>
    </w:p>
    <w:p>
      <w:pPr>
        <w:pBdr>
          <w:bottom w:val="single" w:color="23414B" w:sz="6"/>
        </w:pBdr>
        <w:spacing w:after="160"/>
      </w:pPr>
      <w:r>
        <w:t xml:space="preserve"/>
      </w:r>
    </w:p>
    <w:p>
      <w:pPr>
        <w:spacing w:after="20" w:before="240"/>
      </w:pPr>
      <w:r>
        <w:rPr>
          <w:b/>
          <w:bCs/>
          <w:sz w:val="20"/>
          <w:szCs w:val="20"/>
        </w:rPr>
        <w:t xml:space="preserve">Other party 1 — insurer, policy number, vehicle, plate</w:t>
      </w:r>
    </w:p>
    <w:p>
      <w:pPr>
        <w:pBdr>
          <w:bottom w:val="single" w:color="23414B" w:sz="6"/>
        </w:pBdr>
        <w:spacing w:after="160"/>
      </w:pPr>
      <w:r>
        <w:t xml:space="preserve"/>
      </w:r>
    </w:p>
    <w:p>
      <w:pPr>
        <w:spacing w:after="20" w:before="240"/>
      </w:pPr>
      <w:r>
        <w:rPr>
          <w:b/>
          <w:bCs/>
          <w:sz w:val="20"/>
          <w:szCs w:val="20"/>
        </w:rPr>
        <w:t xml:space="preserve">Other party 2 — name, address, phone</w:t>
      </w:r>
    </w:p>
    <w:p>
      <w:pPr>
        <w:pBdr>
          <w:bottom w:val="single" w:color="23414B" w:sz="6"/>
        </w:pBdr>
        <w:spacing w:after="160"/>
      </w:pPr>
      <w:r>
        <w:t xml:space="preserve"/>
      </w:r>
    </w:p>
    <w:p>
      <w:pPr>
        <w:spacing w:after="20" w:before="240"/>
      </w:pPr>
      <w:r>
        <w:rPr>
          <w:b/>
          <w:bCs/>
          <w:sz w:val="20"/>
          <w:szCs w:val="20"/>
        </w:rPr>
        <w:t xml:space="preserve">Other party 2 — insurer, policy number, vehicle, plate</w:t>
      </w:r>
    </w:p>
    <w:p>
      <w:pPr>
        <w:pBdr>
          <w:bottom w:val="single" w:color="23414B" w:sz="6"/>
        </w:pBdr>
        <w:spacing w:after="160"/>
      </w:pPr>
      <w:r>
        <w:t xml:space="preserve"/>
      </w:r>
    </w:p>
    <w:p>
      <w:pPr>
        <w:spacing w:after="20" w:before="240"/>
      </w:pPr>
      <w:r>
        <w:rPr>
          <w:b/>
          <w:bCs/>
          <w:sz w:val="20"/>
          <w:szCs w:val="20"/>
        </w:rPr>
        <w:t xml:space="preserve">Witness 1 — name, phone</w:t>
      </w:r>
    </w:p>
    <w:p>
      <w:pPr>
        <w:pBdr>
          <w:bottom w:val="single" w:color="23414B" w:sz="6"/>
        </w:pBdr>
        <w:spacing w:after="160"/>
      </w:pPr>
      <w:r>
        <w:t xml:space="preserve"/>
      </w:r>
    </w:p>
    <w:p>
      <w:pPr>
        <w:spacing w:after="20" w:before="240"/>
      </w:pPr>
      <w:r>
        <w:rPr>
          <w:b/>
          <w:bCs/>
          <w:sz w:val="20"/>
          <w:szCs w:val="20"/>
        </w:rPr>
        <w:t xml:space="preserve">Witness 2 — name, phone</w:t>
      </w:r>
    </w:p>
    <w:p>
      <w:pPr>
        <w:pBdr>
          <w:bottom w:val="single" w:color="23414B" w:sz="6"/>
        </w:pBdr>
        <w:spacing w:after="160"/>
      </w:pPr>
      <w:r>
        <w:t xml:space="preserve"/>
      </w:r>
    </w:p>
    <w:p>
      <w:pPr>
        <w:spacing w:after="20" w:before="240"/>
      </w:pPr>
      <w:r>
        <w:rPr>
          <w:b/>
          <w:bCs/>
          <w:sz w:val="20"/>
          <w:szCs w:val="20"/>
        </w:rPr>
        <w:t xml:space="preserve">Police attended?  Yes / No          Report number                    Officer and badge</w:t>
      </w:r>
    </w:p>
    <w:p>
      <w:pPr>
        <w:pBdr>
          <w:bottom w:val="single" w:color="23414B" w:sz="6"/>
        </w:pBdr>
        <w:spacing w:after="160"/>
      </w:pPr>
      <w:r>
        <w:t xml:space="preserve"/>
      </w:r>
    </w:p>
    <w:p>
      <w:pPr>
        <w:pStyle w:val="Heading2"/>
        <w:spacing w:after="120" w:before="260"/>
      </w:pPr>
      <w:r>
        <w:t xml:space="preserve">The two questions that decide whether this is recordable</w:t>
      </w:r>
    </w:p>
    <w:p>
      <w:pPr>
        <w:spacing w:after="120"/>
      </w:pPr>
      <w:r>
        <w:rPr>
          <w:i/>
          <w:iCs/>
          <w:sz w:val="18"/>
          <w:szCs w:val="18"/>
        </w:rPr>
        <w:t xml:space="preserve">Both are tests in the 49 CFR 390.5 definition of an accident, and neither can be reconstructed a week later. Answer them before you leave.</w:t>
      </w:r>
    </w:p>
    <w:p>
      <w:pPr>
        <w:spacing w:after="20" w:before="240"/>
      </w:pPr>
      <w:r>
        <w:rPr>
          <w:b/>
          <w:bCs/>
          <w:sz w:val="20"/>
          <w:szCs w:val="20"/>
        </w:rPr>
        <w:t xml:space="preserve">Did anyone receive medical treatment away from the scene?  Yes / No — who</w:t>
      </w:r>
    </w:p>
    <w:p>
      <w:pPr>
        <w:pBdr>
          <w:bottom w:val="single" w:color="23414B" w:sz="6"/>
        </w:pBdr>
        <w:spacing w:after="160"/>
      </w:pPr>
      <w:r>
        <w:t xml:space="preserve"/>
      </w:r>
    </w:p>
    <w:p>
      <w:pPr>
        <w:spacing w:after="20" w:before="240"/>
      </w:pPr>
      <w:r>
        <w:rPr>
          <w:b/>
          <w:bCs/>
          <w:sz w:val="20"/>
          <w:szCs w:val="20"/>
        </w:rPr>
        <w:t xml:space="preserve">Was any vehicle towed from the scene because of disabling damage?  Yes / No — which</w:t>
      </w:r>
    </w:p>
    <w:p>
      <w:pPr>
        <w:pBdr>
          <w:bottom w:val="single" w:color="23414B" w:sz="6"/>
        </w:pBdr>
        <w:spacing w:after="160"/>
      </w:pPr>
      <w:r>
        <w:t xml:space="preserve"/>
      </w:r>
    </w:p>
    <w:p>
      <w:pPr>
        <w:pStyle w:val="Heading2"/>
        <w:spacing w:after="120" w:before="260"/>
      </w:pPr>
      <w:r>
        <w:t xml:space="preserve">Diagram — vehicles, direction of travel, point of impact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3200" w:hRule="exact"/>
        </w:trPr>
        <w:tc>
          <w:tcPr>
            <w:tcMar>
              <w:top w:type="dxa" w:w="80"/>
              <w:left w:type="dxa" w:w="120"/>
              <w:bottom w:type="dxa" w:w="80"/>
              <w:right w:type="dxa" w:w="120"/>
            </w:tcMar>
          </w:tcPr>
          <w:p>
            <w:r>
              <w:t xml:space="preserve"/>
            </w:r>
          </w:p>
        </w:tc>
      </w:tr>
    </w:tbl>
    <w:p>
      <w:pPr>
        <w:sectPr>
          <w:pgSz w:w="11906" w:h="16838" w:orient="portrait"/>
          <w:pgMar w:top="1000" w:right="1000" w:bottom="1000" w:left="1000" w:header="708" w:footer="708" w:gutter="0"/>
          <w:pgNumType/>
          <w:docGrid w:linePitch="360"/>
        </w:sectPr>
      </w:pPr>
    </w:p>
    <w:p>
      <w:pPr>
        <w:pStyle w:val="Heading1"/>
        <w:spacing w:after="120" w:before="260"/>
      </w:pPr>
      <w:r>
        <w:t xml:space="preserve">Driver narrative — what happened, in your own words</w:t>
      </w:r>
    </w:p>
    <w:p>
      <w:pPr>
        <w:spacing w:after="120"/>
      </w:pPr>
      <w:r>
        <w:rPr>
          <w:i/>
          <w:iCs/>
          <w:sz w:val="18"/>
          <w:szCs w:val="18"/>
        </w:rPr>
        <w:t xml:space="preserve">Facts only. What you saw, what you did, in what order. Do not speculate about fault.</w:t>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spacing w:after="20" w:before="240"/>
      </w:pPr>
      <w:r>
        <w:rPr>
          <w:b/>
          <w:bCs/>
          <w:sz w:val="20"/>
          <w:szCs w:val="20"/>
        </w:rPr>
        <w:t xml:space="preserve">Photographs taken?  Yes / No          How many</w:t>
      </w:r>
    </w:p>
    <w:p>
      <w:pPr>
        <w:pBdr>
          <w:bottom w:val="single" w:color="23414B" w:sz="6"/>
        </w:pBdr>
        <w:spacing w:after="160"/>
      </w:pPr>
      <w:r>
        <w:t xml:space="preserve"/>
      </w:r>
    </w:p>
    <w:p>
      <w:pPr>
        <w:pStyle w:val="Heading2"/>
        <w:spacing w:after="120" w:before="260"/>
      </w:pPr>
      <w:r>
        <w:t xml:space="preserve">Do not do these at the scene</w:t>
      </w:r>
    </w:p>
    <w:tbl>
      <w:tblPr>
        <w:tblW w:type="pct" w:w="100%"/>
        <w:tblBorders>
          <w:top w:val="single" w:color="8A1C1C" w:sz="12"/>
          <w:left w:val="single" w:color="8A1C1C" w:sz="12"/>
          <w:bottom w:val="single" w:color="8A1C1C" w:sz="12"/>
          <w:right w:val="single" w:color="8A1C1C" w:sz="12"/>
          <w:insideH w:val="none" w:color="FFFFFF" w:sz="0"/>
          <w:insideV w:val="none" w:color="FFFFFF" w:sz="0"/>
        </w:tblBorders>
      </w:tblPr>
      <w:tblGrid>
        <w:gridCol w:w="100"/>
      </w:tblGrid>
      <w:tr>
        <w:tc>
          <w:tcPr>
            <w:tcMar>
              <w:top w:type="dxa" w:w="140"/>
              <w:left w:type="dxa" w:w="160"/>
              <w:bottom w:type="dxa" w:w="140"/>
              <w:right w:type="dxa" w:w="160"/>
            </w:tcMar>
          </w:tcPr>
          <w:p>
            <w:pPr>
              <w:spacing w:after="80"/>
            </w:pPr>
            <w:r>
              <w:rPr>
                <w:b/>
                <w:bCs/>
                <w:sz w:val="22"/>
                <w:szCs w:val="22"/>
              </w:rPr>
              <w:t xml:space="preserve">Do not admit fault. Do not accept liability. Do not agree to pay for damage.</w:t>
            </w:r>
          </w:p>
          <w:p>
            <w:pPr>
              <w:spacing w:after="80"/>
            </w:pPr>
            <w:r>
              <w:rPr>
                <w:b w:val="false"/>
                <w:bCs w:val="false"/>
                <w:sz w:val="22"/>
                <w:szCs w:val="22"/>
              </w:rPr>
              <w:t xml:space="preserve">Exchange information, record facts, take photographs, and let the review board make the determination. A determination is made under a written definition, with the evidence in front of it — not at the roadside by the person with the most adrenaline.</w:t>
            </w:r>
          </w:p>
          <w:p>
            <w:pPr>
              <w:spacing w:after="80"/>
            </w:pPr>
            <w:r>
              <w:rPr>
                <w:b w:val="false"/>
                <w:bCs w:val="false"/>
                <w:sz w:val="22"/>
                <w:szCs w:val="22"/>
              </w:rPr>
              <w:t xml:space="preserve">This is not about avoiding responsibility. It is about the determination being made properly, which protects you as often as it protects the agency.</w:t>
            </w:r>
          </w:p>
        </w:tc>
      </w:tr>
    </w:tbl>
    <w:p>
      <w:pPr>
        <w:pStyle w:val="Heading2"/>
        <w:spacing w:after="120" w:before="260"/>
      </w:pPr>
      <w:r>
        <w:t xml:space="preserve">Supervisor</w:t>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pBdr>
          <w:bottom w:val="single" w:color="23414B" w:sz="6"/>
        </w:pBdr>
        <w:spacing w:after="160"/>
      </w:pPr>
      <w:r>
        <w:t xml:space="preserve"/>
      </w:r>
    </w:p>
    <w:p>
      <w:pPr>
        <w:spacing w:after="20" w:before="240"/>
      </w:pPr>
      <w:r>
        <w:rPr>
          <w:b/>
          <w:bCs/>
          <w:sz w:val="20"/>
          <w:szCs w:val="20"/>
        </w:rPr>
        <w:t xml:space="preserve">Supervisor name and date</w:t>
      </w:r>
    </w:p>
    <w:p>
      <w:pPr>
        <w:pBdr>
          <w:bottom w:val="single" w:color="23414B" w:sz="6"/>
        </w:pBdr>
        <w:spacing w:after="160"/>
      </w:pPr>
      <w:r>
        <w:t xml:space="preserve"/>
      </w:r>
    </w:p>
    <w:p>
      <w:pPr>
        <w:spacing w:after="20" w:before="240"/>
      </w:pPr>
      <w:r>
        <w:rPr>
          <w:b/>
          <w:bCs/>
          <w:sz w:val="20"/>
          <w:szCs w:val="20"/>
        </w:rPr>
        <w:t xml:space="preserve">Driver signature and date</w:t>
      </w:r>
    </w:p>
    <w:p>
      <w:pPr>
        <w:pBdr>
          <w:bottom w:val="single" w:color="23414B" w:sz="6"/>
        </w:pBdr>
        <w:spacing w:after="160"/>
      </w:pPr>
      <w:r>
        <w:t xml:space="preserve"/>
      </w:r>
    </w:p>
    <w:p>
      <w:pPr>
        <w:pStyle w:val="Heading2"/>
        <w:spacing w:after="120" w:before="260"/>
      </w:pPr>
      <w:r>
        <w:t xml:space="preserve">For office use</w:t>
      </w:r>
    </w:p>
    <w:p>
      <w:pPr>
        <w:spacing w:after="20" w:before="240"/>
      </w:pPr>
      <w:r>
        <w:rPr>
          <w:b/>
          <w:bCs/>
          <w:sz w:val="20"/>
          <w:szCs w:val="20"/>
        </w:rPr>
        <w:t xml:space="preserve">Incident number                    Date received                    Board date                    Determination</w:t>
      </w:r>
    </w:p>
    <w:p>
      <w:pPr>
        <w:pBdr>
          <w:bottom w:val="single" w:color="23414B" w:sz="6"/>
        </w:pBdr>
        <w:spacing w:after="160"/>
      </w:pPr>
      <w:r>
        <w:t xml:space="preserve"/>
      </w:r>
    </w:p>
    <w:p>
      <w:pPr>
        <w:sectPr>
          <w:pgSz w:w="11906" w:h="16838" w:orient="portrait"/>
          <w:pgMar w:top="1000" w:right="1000" w:bottom="1000" w:left="1000" w:header="708" w:footer="708" w:gutter="0"/>
          <w:pgNumType/>
          <w:docGrid w:linePitch="360"/>
        </w:sectPr>
      </w:pPr>
    </w:p>
    <w:p>
      <w:pPr>
        <w:pStyle w:val="Heading1"/>
        <w:spacing w:after="120" w:before="260"/>
      </w:pPr>
      <w:r>
        <w:t xml:space="preserve">About this form — not part of the form, do not print</w:t>
      </w:r>
    </w:p>
    <w:p>
      <w:pPr>
        <w:spacing w:after="140"/>
      </w:pPr>
      <w:r>
        <w:t xml:space="preserve">This form accompanies the guide "Building a fleet safety program that insurers recognise". Pages 1 and 2 are the form; this page exists so the attribution has somewhere to live that is not a page filed with a determination.</w:t>
      </w:r>
    </w:p>
    <w:p>
      <w:pPr>
        <w:spacing w:after="140"/>
      </w:pPr>
      <w:r>
        <w:t xml:space="preserve">Guide: </w:t>
      </w:r>
      <w:r>
        <w:t xml:space="preserve">https://fleetdesk.axionfleetai.com/guides/fleet-safety-program/</w:t>
      </w:r>
    </w:p>
    <w:p>
      <w:pPr>
        <w:spacing w:after="140"/>
      </w:pPr>
      <w:r>
        <w:t xml:space="preserve">Template version 1.0 — reviewed 2026-07-29</w:t>
      </w:r>
    </w:p>
    <w:p>
      <w:pPr>
        <w:pStyle w:val="Heading2"/>
        <w:spacing w:after="120" w:before="260"/>
      </w:pPr>
      <w:r>
        <w:t xml:space="preserve">Sources</w:t>
      </w:r>
    </w:p>
    <w:p>
      <w:pPr>
        <w:pStyle w:val="ListParagraph"/>
        <w:numPr>
          <w:ilvl w:val="0"/>
          <w:numId w:val="1"/>
        </w:numPr>
        <w:spacing w:after="80"/>
      </w:pPr>
      <w:r>
        <w:rPr>
          <w:sz w:val="20"/>
          <w:szCs w:val="20"/>
        </w:rPr>
        <w:t xml:space="preserve">49 CFR 391.25 — annual inquiry and review of driving record</w:t>
      </w:r>
      <w:r>
        <w:rPr>
          <w:i/>
          <w:iCs/>
          <w:sz w:val="20"/>
          <w:szCs w:val="20"/>
        </w:rPr>
        <w:t xml:space="preserve"> — primary source</w:t>
      </w:r>
      <w:r>
        <w:rPr>
          <w:color w:val="6B7280"/>
          <w:sz w:val="16"/>
          <w:szCs w:val="16"/>
        </w:rPr>
        <w:t xml:space="preserve">  https://www.ecfr.gov/current/title-49/subtitle-B/chapter-III/subchapter-B/part-391/subpart-C/section-391.25</w:t>
      </w:r>
    </w:p>
    <w:p>
      <w:pPr>
        <w:pStyle w:val="ListParagraph"/>
        <w:numPr>
          <w:ilvl w:val="0"/>
          <w:numId w:val="1"/>
        </w:numPr>
        <w:spacing w:after="80"/>
      </w:pPr>
      <w:r>
        <w:rPr>
          <w:sz w:val="20"/>
          <w:szCs w:val="20"/>
        </w:rPr>
        <w:t xml:space="preserve">49 CFR 391.51 — driver qualification files and what may be removed after three years</w:t>
      </w:r>
      <w:r>
        <w:rPr>
          <w:i/>
          <w:iCs/>
          <w:sz w:val="20"/>
          <w:szCs w:val="20"/>
        </w:rPr>
        <w:t xml:space="preserve"> — primary source</w:t>
      </w:r>
      <w:r>
        <w:rPr>
          <w:color w:val="6B7280"/>
          <w:sz w:val="16"/>
          <w:szCs w:val="16"/>
        </w:rPr>
        <w:t xml:space="preserve">  https://www.ecfr.gov/current/title-49/subtitle-B/chapter-III/subchapter-B/part-391/subpart-F/section-391.51</w:t>
      </w:r>
    </w:p>
    <w:p>
      <w:pPr>
        <w:pStyle w:val="ListParagraph"/>
        <w:numPr>
          <w:ilvl w:val="0"/>
          <w:numId w:val="1"/>
        </w:numPr>
        <w:spacing w:after="80"/>
      </w:pPr>
      <w:r>
        <w:rPr>
          <w:sz w:val="20"/>
          <w:szCs w:val="20"/>
        </w:rPr>
        <w:t xml:space="preserve">49 CFR 391.23 — investigation and inquiries, including the 30-day record deadline</w:t>
      </w:r>
      <w:r>
        <w:rPr>
          <w:i/>
          <w:iCs/>
          <w:sz w:val="20"/>
          <w:szCs w:val="20"/>
        </w:rPr>
        <w:t xml:space="preserve"> — primary source</w:t>
      </w:r>
      <w:r>
        <w:rPr>
          <w:color w:val="6B7280"/>
          <w:sz w:val="16"/>
          <w:szCs w:val="16"/>
        </w:rPr>
        <w:t xml:space="preserve">  https://www.ecfr.gov/current/title-49/subtitle-B/chapter-III/subchapter-B/part-391/subpart-C/section-391.23</w:t>
      </w:r>
    </w:p>
    <w:p>
      <w:pPr>
        <w:pStyle w:val="ListParagraph"/>
        <w:numPr>
          <w:ilvl w:val="0"/>
          <w:numId w:val="1"/>
        </w:numPr>
        <w:spacing w:after="80"/>
      </w:pPr>
      <w:r>
        <w:rPr>
          <w:sz w:val="20"/>
          <w:szCs w:val="20"/>
        </w:rPr>
        <w:t xml:space="preserve">49 CFR 390.15(b) — accident register, and the six elements it must contain</w:t>
      </w:r>
      <w:r>
        <w:rPr>
          <w:i/>
          <w:iCs/>
          <w:sz w:val="20"/>
          <w:szCs w:val="20"/>
        </w:rPr>
        <w:t xml:space="preserve"> — primary source</w:t>
      </w:r>
      <w:r>
        <w:rPr>
          <w:color w:val="6B7280"/>
          <w:sz w:val="16"/>
          <w:szCs w:val="16"/>
        </w:rPr>
        <w:t xml:space="preserve">  https://www.ecfr.gov/current/title-49/subtitle-B/chapter-III/subchapter-B/part-390/subpart-B/section-390.15</w:t>
      </w:r>
    </w:p>
    <w:p>
      <w:pPr>
        <w:pStyle w:val="ListParagraph"/>
        <w:numPr>
          <w:ilvl w:val="0"/>
          <w:numId w:val="1"/>
        </w:numPr>
        <w:spacing w:after="80"/>
      </w:pPr>
      <w:r>
        <w:rPr>
          <w:sz w:val="20"/>
          <w:szCs w:val="20"/>
        </w:rPr>
        <w:t xml:space="preserve">49 CFR 390.5 — definition of accident: fatality, treatment away from the scene, or a tow</w:t>
      </w:r>
      <w:r>
        <w:rPr>
          <w:i/>
          <w:iCs/>
          <w:sz w:val="20"/>
          <w:szCs w:val="20"/>
        </w:rPr>
        <w:t xml:space="preserve"> — primary source</w:t>
      </w:r>
      <w:r>
        <w:rPr>
          <w:color w:val="6B7280"/>
          <w:sz w:val="16"/>
          <w:szCs w:val="16"/>
        </w:rPr>
        <w:t xml:space="preserve">  https://www.ecfr.gov/current/title-49/subtitle-B/chapter-III/subchapter-B/part-390/subpart-A/section-390.5</w:t>
      </w:r>
    </w:p>
    <w:p>
      <w:pPr>
        <w:pStyle w:val="ListParagraph"/>
        <w:numPr>
          <w:ilvl w:val="0"/>
          <w:numId w:val="1"/>
        </w:numPr>
        <w:spacing w:after="80"/>
      </w:pPr>
      <w:r>
        <w:rPr>
          <w:sz w:val="20"/>
          <w:szCs w:val="20"/>
        </w:rPr>
        <w:t xml:space="preserve">49 CFR 385.3 — regulatory definition of a preventable accident</w:t>
      </w:r>
      <w:r>
        <w:rPr>
          <w:i/>
          <w:iCs/>
          <w:sz w:val="20"/>
          <w:szCs w:val="20"/>
        </w:rPr>
        <w:t xml:space="preserve"> — primary source</w:t>
      </w:r>
      <w:r>
        <w:rPr>
          <w:color w:val="6B7280"/>
          <w:sz w:val="16"/>
          <w:szCs w:val="16"/>
        </w:rPr>
        <w:t xml:space="preserve">  https://www.ecfr.gov/current/title-49/subtitle-B/chapter-III/subchapter-B/part-385/subpart-A/section-385.3</w:t>
      </w:r>
    </w:p>
    <w:p>
      <w:pPr>
        <w:pStyle w:val="ListParagraph"/>
        <w:numPr>
          <w:ilvl w:val="0"/>
          <w:numId w:val="1"/>
        </w:numPr>
        <w:spacing w:after="80"/>
      </w:pPr>
      <w:r>
        <w:rPr>
          <w:sz w:val="20"/>
          <w:szCs w:val="20"/>
        </w:rPr>
        <w:t xml:space="preserve">49 CFR 382.701 — Clearinghouse queries, limited and full, and the 3-year query record</w:t>
      </w:r>
      <w:r>
        <w:rPr>
          <w:i/>
          <w:iCs/>
          <w:sz w:val="20"/>
          <w:szCs w:val="20"/>
        </w:rPr>
        <w:t xml:space="preserve"> — primary source</w:t>
      </w:r>
      <w:r>
        <w:rPr>
          <w:color w:val="6B7280"/>
          <w:sz w:val="16"/>
          <w:szCs w:val="16"/>
        </w:rPr>
        <w:t xml:space="preserve">  https://www.ecfr.gov/current/title-49/subtitle-B/chapter-III/subchapter-B/part-382/subpart-G/section-382.701</w:t>
      </w:r>
    </w:p>
    <w:p>
      <w:pPr>
        <w:pStyle w:val="ListParagraph"/>
        <w:numPr>
          <w:ilvl w:val="0"/>
          <w:numId w:val="1"/>
        </w:numPr>
        <w:spacing w:after="80"/>
      </w:pPr>
      <w:r>
        <w:rPr>
          <w:sz w:val="20"/>
          <w:szCs w:val="20"/>
        </w:rPr>
        <w:t xml:space="preserve">49 CFR 390.3 — general applicability. Paragraph (f)(2) excepts transportation performed by a State or a political subdivision; paragraph (d) preserves your right to be stricter</w:t>
      </w:r>
      <w:r>
        <w:rPr>
          <w:i/>
          <w:iCs/>
          <w:sz w:val="20"/>
          <w:szCs w:val="20"/>
        </w:rPr>
        <w:t xml:space="preserve"> — primary source</w:t>
      </w:r>
      <w:r>
        <w:rPr>
          <w:color w:val="6B7280"/>
          <w:sz w:val="16"/>
          <w:szCs w:val="16"/>
        </w:rPr>
        <w:t xml:space="preserve">  https://www.ecfr.gov/current/title-49/subtitle-B/chapter-III/subchapter-B/part-390/subpart-A/section-390.3</w:t>
      </w:r>
    </w:p>
    <w:p>
      <w:pPr>
        <w:pStyle w:val="ListParagraph"/>
        <w:numPr>
          <w:ilvl w:val="0"/>
          <w:numId w:val="1"/>
        </w:numPr>
        <w:spacing w:after="80"/>
      </w:pPr>
      <w:r>
        <w:rPr>
          <w:sz w:val="20"/>
          <w:szCs w:val="20"/>
        </w:rPr>
        <w:t xml:space="preserve">49 CFR 383.3(b) — the 390.3(f) exceptions do not apply to the commercial driver licence rules</w:t>
      </w:r>
      <w:r>
        <w:rPr>
          <w:i/>
          <w:iCs/>
          <w:sz w:val="20"/>
          <w:szCs w:val="20"/>
        </w:rPr>
        <w:t xml:space="preserve"> — primary source</w:t>
      </w:r>
      <w:r>
        <w:rPr>
          <w:color w:val="6B7280"/>
          <w:sz w:val="16"/>
          <w:szCs w:val="16"/>
        </w:rPr>
        <w:t xml:space="preserve">  https://www.ecfr.gov/current/title-49/subtitle-B/chapter-III/subchapter-B/part-383/subpart-A/section-383.3</w:t>
      </w:r>
    </w:p>
    <w:p>
      <w:pPr>
        <w:pStyle w:val="ListParagraph"/>
        <w:numPr>
          <w:ilvl w:val="0"/>
          <w:numId w:val="1"/>
        </w:numPr>
        <w:spacing w:after="80"/>
      </w:pPr>
      <w:r>
        <w:rPr>
          <w:sz w:val="20"/>
          <w:szCs w:val="20"/>
        </w:rPr>
        <w:t xml:space="preserve">49 CFR 382.103(c) — the same exceptions do not apply to the drug and alcohol programme</w:t>
      </w:r>
      <w:r>
        <w:rPr>
          <w:i/>
          <w:iCs/>
          <w:sz w:val="20"/>
          <w:szCs w:val="20"/>
        </w:rPr>
        <w:t xml:space="preserve"> — primary source</w:t>
      </w:r>
      <w:r>
        <w:rPr>
          <w:color w:val="6B7280"/>
          <w:sz w:val="16"/>
          <w:szCs w:val="16"/>
        </w:rPr>
        <w:t xml:space="preserve">  https://www.ecfr.gov/current/title-49/subtitle-B/chapter-III/subchapter-B/part-382/subpart-A/section-382.103</w:t>
      </w:r>
    </w:p>
    <w:p>
      <w:pPr>
        <w:pStyle w:val="ListParagraph"/>
        <w:numPr>
          <w:ilvl w:val="0"/>
          <w:numId w:val="1"/>
        </w:numPr>
        <w:spacing w:after="80"/>
      </w:pPr>
      <w:r>
        <w:rPr>
          <w:sz w:val="20"/>
          <w:szCs w:val="20"/>
        </w:rPr>
        <w:t xml:space="preserve">FMCSA — Crash Preventability Determination Program, 89 FR 96269 (4 December 2024). The final list of 21 eligible crash types, for crashes on or after 1 December 2024, not applied retroactively</w:t>
      </w:r>
      <w:r>
        <w:rPr>
          <w:i/>
          <w:iCs/>
          <w:sz w:val="20"/>
          <w:szCs w:val="20"/>
        </w:rPr>
        <w:t xml:space="preserve"> — primary source</w:t>
      </w:r>
      <w:r>
        <w:rPr>
          <w:color w:val="6B7280"/>
          <w:sz w:val="16"/>
          <w:szCs w:val="16"/>
        </w:rPr>
        <w:t xml:space="preserve">  https://www.federalregister.gov/documents/2024/12/04/2024-28377/crash-preventability-determination-program</w:t>
      </w:r>
    </w:p>
    <w:p>
      <w:pPr>
        <w:pStyle w:val="ListParagraph"/>
        <w:numPr>
          <w:ilvl w:val="0"/>
          <w:numId w:val="1"/>
        </w:numPr>
        <w:spacing w:after="80"/>
      </w:pPr>
      <w:r>
        <w:rPr>
          <w:sz w:val="20"/>
          <w:szCs w:val="20"/>
        </w:rPr>
        <w:t xml:space="preserve">OSHA / NHTSA / NETS — Guidelines for Employers to Reduce Motor Vehicle Crashes. Joint federal publication, advisory by its own disclaimer ("not a standard or regulation, and it creates no new legal obligations"), and its cost material is 2003-era</w:t>
      </w:r>
      <w:r>
        <w:rPr>
          <w:i/>
          <w:iCs/>
          <w:sz w:val="20"/>
          <w:szCs w:val="20"/>
        </w:rPr>
        <w:t xml:space="preserve"> — primary source</w:t>
      </w:r>
      <w:r>
        <w:rPr>
          <w:color w:val="6B7280"/>
          <w:sz w:val="16"/>
          <w:szCs w:val="16"/>
        </w:rPr>
        <w:t xml:space="preserve">  https://www.osha.gov/sites/default/files/publications/motor_vehicle_guide.pdf</w:t>
      </w:r>
    </w:p>
    <w:p>
      <w:pPr>
        <w:pStyle w:val="ListParagraph"/>
        <w:numPr>
          <w:ilvl w:val="0"/>
          <w:numId w:val="1"/>
        </w:numPr>
        <w:spacing w:after="80"/>
      </w:pPr>
      <w:r>
        <w:rPr>
          <w:sz w:val="20"/>
          <w:szCs w:val="20"/>
        </w:rPr>
        <w:t xml:space="preserve">OSHA — Motor vehicle safety for employers</w:t>
      </w:r>
      <w:r>
        <w:rPr>
          <w:i/>
          <w:iCs/>
          <w:sz w:val="20"/>
          <w:szCs w:val="20"/>
        </w:rPr>
        <w:t xml:space="preserve"> — primary source</w:t>
      </w:r>
      <w:r>
        <w:rPr>
          <w:color w:val="6B7280"/>
          <w:sz w:val="16"/>
          <w:szCs w:val="16"/>
        </w:rPr>
        <w:t xml:space="preserve">  https://www.osha.gov/motor-vehicle-safety/employers</w:t>
      </w:r>
    </w:p>
    <w:p>
      <w:pPr>
        <w:pStyle w:val="ListParagraph"/>
        <w:numPr>
          <w:ilvl w:val="0"/>
          <w:numId w:val="1"/>
        </w:numPr>
        <w:spacing w:after="80"/>
      </w:pPr>
      <w:r>
        <w:rPr>
          <w:sz w:val="20"/>
          <w:szCs w:val="20"/>
        </w:rPr>
        <w:t xml:space="preserve">ANSI/ASSP Z15.1-2024 — Safe Practices for Motor Vehicle Operations. Consensus standard; the document is paid and nothing in this kit is attributed to it</w:t>
      </w:r>
      <w:r>
        <w:rPr>
          <w:i/>
          <w:iCs/>
          <w:sz w:val="20"/>
          <w:szCs w:val="20"/>
        </w:rPr>
        <w:t xml:space="preserve"> — not a primary source</w:t>
      </w:r>
      <w:r>
        <w:rPr>
          <w:color w:val="6B7280"/>
          <w:sz w:val="16"/>
          <w:szCs w:val="16"/>
        </w:rPr>
        <w:t xml:space="preserve">  https://www.assp.org/standards/standards-topics/fleet-motor-vehicles-z15-1</w:t>
      </w:r>
    </w:p>
    <w:p>
      <w:pPr>
        <w:pStyle w:val="ListParagraph"/>
        <w:numPr>
          <w:ilvl w:val="0"/>
          <w:numId w:val="1"/>
        </w:numPr>
        <w:spacing w:after="80"/>
      </w:pPr>
      <w:r>
        <w:rPr>
          <w:sz w:val="20"/>
          <w:szCs w:val="20"/>
        </w:rPr>
        <w:t xml:space="preserve">National Safety Council — Collision Preventability Review. Non-profit, paid service; the other common source for a preventable definition</w:t>
      </w:r>
      <w:r>
        <w:rPr>
          <w:i/>
          <w:iCs/>
          <w:sz w:val="20"/>
          <w:szCs w:val="20"/>
        </w:rPr>
        <w:t xml:space="preserve"> — not a primary source</w:t>
      </w:r>
      <w:r>
        <w:rPr>
          <w:color w:val="6B7280"/>
          <w:sz w:val="16"/>
          <w:szCs w:val="16"/>
        </w:rPr>
        <w:t xml:space="preserve">  https://www.nsc.org/road/resources/collision-preventability-review</w:t>
      </w:r>
    </w:p>
    <w:p>
      <w:pPr>
        <w:spacing w:after="120"/>
      </w:pPr>
      <w:r>
        <w:rPr>
          <w:i/>
          <w:iCs/>
          <w:sz w:val="18"/>
          <w:szCs w:val="18"/>
        </w:rPr>
        <w:t xml:space="preserve">Method: the first block reproduces the accident register elements of 49 CFR 390.15(b)(1) in the order the regulation lists them, and the two recordability questions are the tests in the 49 CFR 390.5 definition of an accident. Everything else on the form is editorial — it is what the review board and your insurer will ask for, not what a rule requires.</w:t>
      </w:r>
    </w:p>
    <w:p>
      <w:pPr>
        <w:pBdr>
          <w:top w:val="single" w:color="D0D7DC" w:sz="4"/>
        </w:pBdr>
        <w:spacing w:after="120" w:before="420"/>
      </w:pPr>
      <w:r>
        <w:t xml:space="preserve"/>
      </w:r>
    </w:p>
    <w:p>
      <w:pPr>
        <w:spacing w:after="40"/>
      </w:pPr>
      <w:r>
        <w:rPr>
          <w:color w:val="6B7280"/>
          <w:sz w:val="16"/>
          <w:szCs w:val="16"/>
        </w:rPr>
        <w:t xml:space="preserve">Published by Fleet Desk — https://fleetdesk.axionfleetai.com</w:t>
      </w:r>
    </w:p>
    <w:p>
      <w:pPr>
        <w:spacing w:after="40"/>
      </w:pPr>
      <w:r>
        <w:rPr>
          <w:color w:val="6B7280"/>
          <w:sz w:val="16"/>
          <w:szCs w:val="16"/>
        </w:rPr>
        <w:t xml:space="preserve">Free to use, adapt and distribute, including commercially. No attribution required.</w:t>
      </w:r>
    </w:p>
    <w:p>
      <w:pPr>
        <w:spacing w:after="40"/>
      </w:pPr>
      <w:r>
        <w:rPr>
          <w:color w:val="6B7280"/>
          <w:sz w:val="16"/>
          <w:szCs w:val="16"/>
        </w:rPr>
        <w:t xml:space="preserve">Sponsored by Axion (axionfleetai.com), which had no editorial control over this template.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414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80"/>
    </w:pPr>
    <w:rPr>
      <w:rFonts w:ascii="Calibri" w:cs="Calibri" w:eastAsia="Calibri" w:hAnsi="Calibri"/>
      <w:b/>
      <w:bCs/>
      <w:color w:val="23414B"/>
      <w:sz w:val="30"/>
      <w:szCs w:val="30"/>
    </w:rPr>
  </w:style>
  <w:style w:type="paragraph" w:styleId="Heading2">
    <w:name w:val="Heading 2"/>
    <w:basedOn w:val="Normal"/>
    <w:next w:val="Normal"/>
    <w:qFormat/>
    <w:pPr>
      <w:spacing w:after="100" w:before="220"/>
    </w:pPr>
    <w:rPr>
      <w:rFonts w:ascii="Calibri" w:cs="Calibri" w:eastAsia="Calibri" w:hAnsi="Calibri"/>
      <w:b/>
      <w:bCs/>
      <w:color w:val="23414B"/>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form</dc:title>
  <dc:creator>Fleet Desk</dc:creator>
  <dc:description>Incident report form — version 1.0</dc:description>
  <cp:lastModifiedBy>Un-named</cp:lastModifiedBy>
  <cp:revision>1</cp:revision>
  <dcterms:created xsi:type="dcterms:W3CDTF">2026-08-04T13:54:04.391Z</dcterms:created>
  <dcterms:modified xsi:type="dcterms:W3CDTF">2026-08-04T13:54:04.391Z</dcterms:modified>
</cp:coreProperties>
</file>

<file path=docProps/custom.xml><?xml version="1.0" encoding="utf-8"?>
<Properties xmlns="http://schemas.openxmlformats.org/officeDocument/2006/custom-properties" xmlns:vt="http://schemas.openxmlformats.org/officeDocument/2006/docPropsVTypes"/>
</file>