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before="0"/>
      </w:pPr>
      <w:r>
        <w:rPr>
          <w:b/>
          <w:bCs/>
          <w:color w:val="B4531A"/>
        </w:rPr>
        <w:t xml:space="preserve">[AGENCY NAME]</w:t>
      </w:r>
      <w:r>
        <w:t xml:space="preserve"> — Internal service fund conversion plan</w:t>
      </w:r>
    </w:p>
    <w:p>
      <w:pPr>
        <w:spacing w:after="60"/>
      </w:pPr>
      <w:r>
        <w:t xml:space="preserve">Fiscal year </w:t>
      </w:r>
      <w:r>
        <w:rPr>
          <w:b/>
          <w:bCs/>
          <w:color w:val="B4531A"/>
        </w:rPr>
        <w:t xml:space="preserve">[FISCAL YEAR]</w:t>
      </w:r>
      <w:r>
        <w:t xml:space="preserve">    Date </w:t>
      </w:r>
      <w:r>
        <w:rPr>
          <w:b/>
          <w:bCs/>
          <w:color w:val="B4531A"/>
        </w:rPr>
        <w:t xml:space="preserve">[DATE]</w:t>
      </w:r>
      <w:r>
        <w:t xml:space="preserve">    For </w:t>
      </w:r>
      <w:r>
        <w:rPr>
          <w:b/>
          <w:bCs/>
          <w:color w:val="B4531A"/>
        </w:rPr>
        <w:t xml:space="preserve">[COUNCIL / BOARD]</w:t>
      </w:r>
    </w:p>
    <w:p>
      <w:pPr>
        <w:spacing w:after="240"/>
      </w:pPr>
      <w:r>
        <w:t xml:space="preserve">Prepared by </w:t>
      </w:r>
      <w:r>
        <w:rPr>
          <w:b/>
          <w:bCs/>
          <w:color w:val="B4531A"/>
        </w:rPr>
        <w:t xml:space="preserve">[NAME, TITLE]</w:t>
      </w:r>
      <w:r>
        <w:t xml:space="preserve">  and  </w:t>
      </w:r>
      <w:r>
        <w:rPr>
          <w:b/>
          <w:bCs/>
          <w:color w:val="B4531A"/>
        </w:rPr>
        <w:t xml:space="preserve">[FINANCE DIRECTOR NAME, TITLE]</w:t>
      </w:r>
    </w:p>
    <w:tbl>
      <w:tblPr>
        <w:tblW w:type="pct" w:w="100%"/>
        <w:tblBorders>
          <w:top w:val="single" w:color="B4531A" w:sz="6"/>
          <w:left w:val="single" w:color="B4531A" w:sz="6"/>
          <w:bottom w:val="single" w:color="B4531A" w:sz="6"/>
          <w:right w:val="single" w:color="B4531A" w:sz="6"/>
          <w:insideH w:val="none" w:color="FFFFFF" w:sz="0"/>
          <w:insideV w:val="none" w:color="FFFFFF" w:sz="0"/>
        </w:tblBorders>
      </w:tblPr>
      <w:tblGrid>
        <w:gridCol w:w="100"/>
      </w:tblGrid>
      <w:tr>
        <w:tc>
          <w:tcPr>
            <w:shd w:fill="FDF6EC" w:color="FDF6EC" w:val="solid"/>
            <w:tcMar>
              <w:top w:type="dxa" w:w="120"/>
              <w:left w:type="dxa" w:w="160"/>
              <w:bottom w:type="dxa" w:w="120"/>
              <w:right w:type="dxa" w:w="160"/>
            </w:tcMar>
          </w:tcPr>
          <w:p>
            <w:pPr>
              <w:spacing w:after="80"/>
            </w:pPr>
            <w:r>
              <w:rPr>
                <w:b/>
                <w:bCs/>
                <w:sz w:val="18"/>
                <w:szCs w:val="18"/>
              </w:rPr>
              <w:t xml:space="preserve">Delete this box before circulating.</w:t>
            </w:r>
          </w:p>
          <w:p>
            <w:pPr>
              <w:spacing w:after="50"/>
            </w:pPr>
            <w:r>
              <w:rPr>
                <w:sz w:val="18"/>
                <w:szCs w:val="18"/>
              </w:rPr>
              <w:t xml:space="preserve">This is a fund accounting change, not a fleet initiative. If your finance director is not a named co-author of this document, stop and go get one — that is the guide’s step 1, and it is worded as an instruction because a proposal without finance on it does not survive.</w:t>
            </w:r>
          </w:p>
          <w:p>
            <w:pPr>
              <w:spacing w:after="50"/>
            </w:pPr>
            <w:r>
              <w:rPr>
                <w:sz w:val="18"/>
                <w:szCs w:val="18"/>
              </w:rPr>
              <w:t xml:space="preserve">They will care about fund structure, the opening balance, how the reserve is treated for reporting, and what happens to existing capital appropriations. Bring the question, not the answer.</w:t>
            </w:r>
          </w:p>
        </w:tc>
      </w:tr>
    </w:tbl>
    <w:p>
      <w:pPr>
        <w:pStyle w:val="Heading1"/>
        <w:spacing w:after="120" w:before="260"/>
      </w:pPr>
      <w:r>
        <w:t xml:space="preserve">1. Executive summary</w:t>
      </w:r>
    </w:p>
    <w:p>
      <w:pPr>
        <w:spacing w:after="140"/>
      </w:pPr>
      <w:r>
        <w:t xml:space="preserve">Fleet currently operates inside the general fund. This plan proposes an internal service fund: fleet charges user departments for what they consume and is expected to break even. GASB’s own definition is that language — an internal service fund reports activity that provides goods or services to other funds, departments or agencies on a cost-reimbursement basis, and may be used only where this government is the predominant participant (GASB Codification 1300.110 [GASBS 34, ¶68]).</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DF2F5" w:color="EDF2F5" w:val="solid"/>
            <w:tcMar>
              <w:top w:type="dxa" w:w="80"/>
              <w:left w:type="dxa" w:w="120"/>
              <w:bottom w:type="dxa" w:w="80"/>
              <w:right w:type="dxa" w:w="120"/>
            </w:tcMar>
          </w:tcPr>
          <w:p>
            <w:r>
              <w:rPr>
                <w:b/>
                <w:bCs/>
                <w:sz w:val="20"/>
                <w:szCs w:val="20"/>
              </w:rPr>
              <w:t xml:space="preserve">What changes</w:t>
            </w:r>
          </w:p>
        </w:tc>
        <w:tc>
          <w:tcPr>
            <w:shd w:fill="EDF2F5" w:color="EDF2F5" w:val="solid"/>
            <w:tcMar>
              <w:top w:type="dxa" w:w="80"/>
              <w:left w:type="dxa" w:w="120"/>
              <w:bottom w:type="dxa" w:w="80"/>
              <w:right w:type="dxa" w:w="120"/>
            </w:tcMar>
          </w:tcPr>
          <w:p>
            <w:r>
              <w:rPr>
                <w:b/>
                <w:bCs/>
                <w:sz w:val="20"/>
                <w:szCs w:val="20"/>
              </w:rPr>
              <w:t xml:space="preserve">What it means here</w:t>
            </w:r>
          </w:p>
        </w:tc>
      </w:tr>
      <w:tr>
        <w:trPr>
          <w:tblHeader w:val="false"/>
        </w:trPr>
        <w:tc>
          <w:tcPr>
            <w:tcMar>
              <w:top w:type="dxa" w:w="80"/>
              <w:left w:type="dxa" w:w="120"/>
              <w:bottom w:type="dxa" w:w="80"/>
              <w:right w:type="dxa" w:w="120"/>
            </w:tcMar>
          </w:tcPr>
          <w:p>
            <w:r>
              <w:rPr>
                <w:b w:val="false"/>
                <w:bCs w:val="false"/>
                <w:sz w:val="20"/>
                <w:szCs w:val="20"/>
              </w:rPr>
              <w:t xml:space="preserve">Departments start seeing the cost of their fleet</w:t>
            </w:r>
          </w:p>
        </w:tc>
        <w:tc>
          <w:tcPr>
            <w:tcMar>
              <w:top w:type="dxa" w:w="80"/>
              <w:left w:type="dxa" w:w="120"/>
              <w:bottom w:type="dxa" w:w="80"/>
              <w:right w:type="dxa" w:w="120"/>
            </w:tcMar>
          </w:tcPr>
          <w:p>
            <w:r>
              <w:rPr>
                <w:b w:val="false"/>
                <w:bCs w:val="false"/>
                <w:sz w:val="20"/>
                <w:szCs w:val="20"/>
              </w:rPr>
              <w:t xml:space="preserve">A vehicle that is free at the point of use is always wanted; one carrying a monthly charge that lands on a department budget is handed back when it is not needed. Expect surplus units to surface in year one.</w:t>
            </w:r>
          </w:p>
        </w:tc>
      </w:tr>
      <w:tr>
        <w:trPr>
          <w:tblHeader w:val="false"/>
        </w:trPr>
        <w:tc>
          <w:tcPr>
            <w:tcMar>
              <w:top w:type="dxa" w:w="80"/>
              <w:left w:type="dxa" w:w="120"/>
              <w:bottom w:type="dxa" w:w="80"/>
              <w:right w:type="dxa" w:w="120"/>
            </w:tcMar>
          </w:tcPr>
          <w:p>
            <w:r>
              <w:rPr>
                <w:b w:val="false"/>
                <w:bCs w:val="false"/>
                <w:sz w:val="20"/>
                <w:szCs w:val="20"/>
              </w:rPr>
              <w:t xml:space="preserve">The replacement reserve becomes fund balance rather than a hope</w:t>
            </w:r>
          </w:p>
        </w:tc>
        <w:tc>
          <w:tcPr>
            <w:tcMar>
              <w:top w:type="dxa" w:w="80"/>
              <w:left w:type="dxa" w:w="120"/>
              <w:bottom w:type="dxa" w:w="80"/>
              <w:right w:type="dxa" w:w="120"/>
            </w:tcMar>
          </w:tcPr>
          <w:p>
            <w:r>
              <w:rPr>
                <w:b w:val="false"/>
                <w:bCs w:val="false"/>
                <w:sz w:val="20"/>
                <w:szCs w:val="20"/>
              </w:rPr>
              <w:t xml:space="preserve">Replacement money stops being an annual appropriation that competes with everything else and loses in a bad year. Opening reserve gap across </w:t>
            </w:r>
            <w:r>
              <w:rPr>
                <w:b/>
                <w:bCs/>
                <w:color w:val="B4531A"/>
                <w:sz w:val="20"/>
                <w:szCs w:val="20"/>
              </w:rPr>
              <w:t xml:space="preserve">[UNITS]</w:t>
            </w:r>
            <w:r>
              <w:rPr>
                <w:b w:val="false"/>
                <w:bCs w:val="false"/>
                <w:sz w:val="20"/>
                <w:szCs w:val="20"/>
              </w:rPr>
              <w:t xml:space="preserve"> units: </w:t>
            </w:r>
            <w:r>
              <w:rPr>
                <w:b/>
                <w:bCs/>
                <w:color w:val="B4531A"/>
                <w:sz w:val="20"/>
                <w:szCs w:val="20"/>
              </w:rPr>
              <w:t xml:space="preserve">[TOTAL RESERVE GAP $]</w:t>
            </w:r>
            <w:r>
              <w:rPr>
                <w:b w:val="false"/>
                <w:bCs w:val="false"/>
                <w:sz w:val="20"/>
                <w:szCs w:val="20"/>
              </w:rPr>
              <w:t xml:space="preserve">.</w:t>
            </w:r>
          </w:p>
        </w:tc>
      </w:tr>
      <w:tr>
        <w:trPr>
          <w:tblHeader w:val="false"/>
        </w:trPr>
        <w:tc>
          <w:tcPr>
            <w:tcMar>
              <w:top w:type="dxa" w:w="80"/>
              <w:left w:type="dxa" w:w="120"/>
              <w:bottom w:type="dxa" w:w="80"/>
              <w:right w:type="dxa" w:w="120"/>
            </w:tcMar>
          </w:tcPr>
          <w:p>
            <w:r>
              <w:rPr>
                <w:b w:val="false"/>
                <w:bCs w:val="false"/>
                <w:sz w:val="20"/>
                <w:szCs w:val="20"/>
              </w:rPr>
              <w:t xml:space="preserve">Fleet’s performance becomes measurable, in both directions</w:t>
            </w:r>
          </w:p>
        </w:tc>
        <w:tc>
          <w:tcPr>
            <w:tcMar>
              <w:top w:type="dxa" w:w="80"/>
              <w:left w:type="dxa" w:w="120"/>
              <w:bottom w:type="dxa" w:w="80"/>
              <w:right w:type="dxa" w:w="120"/>
            </w:tcMar>
          </w:tcPr>
          <w:p>
            <w:r>
              <w:rPr>
                <w:b w:val="false"/>
                <w:bCs w:val="false"/>
                <w:sz w:val="20"/>
                <w:szCs w:val="20"/>
              </w:rPr>
              <w:t xml:space="preserve">Cost recovery, rate variance and fund balance are numbers a finance director reads directly. That makes the case in good years and exposes it in bad ones.</w:t>
            </w:r>
          </w:p>
        </w:tc>
      </w:tr>
      <w:tr>
        <w:trPr>
          <w:tblHeader w:val="false"/>
        </w:trPr>
        <w:tc>
          <w:tcPr>
            <w:tcMar>
              <w:top w:type="dxa" w:w="80"/>
              <w:left w:type="dxa" w:w="120"/>
              <w:bottom w:type="dxa" w:w="80"/>
              <w:right w:type="dxa" w:w="120"/>
            </w:tcMar>
          </w:tcPr>
          <w:p>
            <w:r>
              <w:rPr>
                <w:b w:val="false"/>
                <w:bCs w:val="false"/>
                <w:sz w:val="20"/>
                <w:szCs w:val="20"/>
              </w:rPr>
              <w:t xml:space="preserve">Fleet takes on real financial obligations</w:t>
            </w:r>
          </w:p>
        </w:tc>
        <w:tc>
          <w:tcPr>
            <w:tcMar>
              <w:top w:type="dxa" w:w="80"/>
              <w:left w:type="dxa" w:w="120"/>
              <w:bottom w:type="dxa" w:w="80"/>
              <w:right w:type="dxa" w:w="120"/>
            </w:tcMar>
          </w:tcPr>
          <w:p>
            <w:r>
              <w:rPr>
                <w:b w:val="false"/>
                <w:bCs w:val="false"/>
                <w:sz w:val="20"/>
                <w:szCs w:val="20"/>
              </w:rPr>
              <w:t xml:space="preserve">Cost recovery means recovery. Rates that under-recover produce a deficit that has to be explained and closed. Opening net position: </w:t>
            </w:r>
            <w:r>
              <w:rPr>
                <w:b/>
                <w:bCs/>
                <w:color w:val="B4531A"/>
                <w:sz w:val="20"/>
                <w:szCs w:val="20"/>
              </w:rPr>
              <w:t xml:space="preserve">[OPENING NET POSITION $]</w:t>
            </w:r>
            <w:r>
              <w:rPr>
                <w:b w:val="false"/>
                <w:bCs w:val="false"/>
                <w:sz w:val="20"/>
                <w:szCs w:val="20"/>
              </w:rPr>
              <w:t xml:space="preserve">.</w:t>
            </w:r>
          </w:p>
        </w:tc>
      </w:tr>
    </w:tbl>
    <w:p>
      <w:pPr>
        <w:spacing w:after="120"/>
      </w:pPr>
      <w:r>
        <w:t xml:space="preserve"/>
      </w:r>
    </w:p>
    <w:tbl>
      <w:tblPr>
        <w:tblW w:type="pct" w:w="100%"/>
        <w:tblBorders>
          <w:top w:val="single" w:color="B4531A" w:sz="6"/>
          <w:left w:val="single" w:color="B4531A" w:sz="6"/>
          <w:bottom w:val="single" w:color="B4531A" w:sz="6"/>
          <w:right w:val="single" w:color="B4531A" w:sz="6"/>
          <w:insideH w:val="none" w:color="FFFFFF" w:sz="0"/>
          <w:insideV w:val="none" w:color="FFFFFF" w:sz="0"/>
        </w:tblBorders>
      </w:tblPr>
      <w:tblGrid>
        <w:gridCol w:w="100"/>
      </w:tblGrid>
      <w:tr>
        <w:tc>
          <w:tcPr>
            <w:shd w:fill="FDF6EC" w:color="FDF6EC" w:val="solid"/>
            <w:tcMar>
              <w:top w:type="dxa" w:w="120"/>
              <w:left w:type="dxa" w:w="160"/>
              <w:bottom w:type="dxa" w:w="120"/>
              <w:right w:type="dxa" w:w="160"/>
            </w:tcMar>
          </w:tcPr>
          <w:p>
            <w:pPr>
              <w:spacing w:after="80"/>
            </w:pPr>
            <w:r>
              <w:rPr>
                <w:b/>
                <w:bCs/>
                <w:sz w:val="18"/>
                <w:szCs w:val="18"/>
              </w:rPr>
              <w:t xml:space="preserve">Delete this box before circulating.</w:t>
            </w:r>
          </w:p>
          <w:p>
            <w:pPr>
              <w:spacing w:after="50"/>
            </w:pPr>
            <w:r>
              <w:rPr>
                <w:sz w:val="18"/>
                <w:szCs w:val="18"/>
              </w:rPr>
              <w:t xml:space="preserve">Fill the bracketed figures from the opening position workbook: total reserve gap and unit count from the Funding gap sheet TOTAL row, opening net position from the Opening balance sheet.</w:t>
            </w:r>
          </w:p>
          <w:p>
            <w:pPr>
              <w:spacing w:after="50"/>
            </w:pPr>
            <w:r>
              <w:rPr>
                <w:sz w:val="18"/>
                <w:szCs w:val="18"/>
              </w:rPr>
              <w:t xml:space="preserve">One page. If the summary runs longer than this table plus three sentences, the detail belongs in a later section.</w:t>
            </w:r>
          </w:p>
        </w:tc>
      </w:tr>
    </w:tbl>
    <w:p>
      <w:pPr>
        <w:pStyle w:val="Heading1"/>
        <w:spacing w:after="120" w:before="260"/>
      </w:pPr>
      <w:r>
        <w:t xml:space="preserve">2. Readiness assessment</w:t>
      </w:r>
    </w:p>
    <w:p>
      <w:pPr>
        <w:spacing w:after="140"/>
      </w:pPr>
      <w:r>
        <w:t xml:space="preserve">Score each signal 0, 1 or 2. Maximum 10. The honest outcome of this section is sometimes that the conversion should not proceed this year, and recording that is more useful than a score assembled to reach a conclusion already chosen.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tblHeader/>
        </w:trPr>
        <w:tc>
          <w:tcPr>
            <w:shd w:fill="EDF2F5" w:color="EDF2F5" w:val="solid"/>
            <w:tcMar>
              <w:top w:type="dxa" w:w="80"/>
              <w:left w:type="dxa" w:w="120"/>
              <w:bottom w:type="dxa" w:w="80"/>
              <w:right w:type="dxa" w:w="120"/>
            </w:tcMar>
          </w:tcPr>
          <w:p>
            <w:r>
              <w:rPr>
                <w:b/>
                <w:bCs/>
                <w:sz w:val="20"/>
                <w:szCs w:val="20"/>
              </w:rPr>
              <w:t xml:space="preserve">Signal</w:t>
            </w:r>
          </w:p>
        </w:tc>
        <w:tc>
          <w:tcPr>
            <w:shd w:fill="EDF2F5" w:color="EDF2F5" w:val="solid"/>
            <w:tcMar>
              <w:top w:type="dxa" w:w="80"/>
              <w:left w:type="dxa" w:w="120"/>
              <w:bottom w:type="dxa" w:w="80"/>
              <w:right w:type="dxa" w:w="120"/>
            </w:tcMar>
          </w:tcPr>
          <w:p>
            <w:r>
              <w:rPr>
                <w:b/>
                <w:bCs/>
                <w:sz w:val="20"/>
                <w:szCs w:val="20"/>
              </w:rPr>
              <w:t xml:space="preserve">2 points</w:t>
            </w:r>
          </w:p>
        </w:tc>
        <w:tc>
          <w:tcPr>
            <w:shd w:fill="EDF2F5" w:color="EDF2F5" w:val="solid"/>
            <w:tcMar>
              <w:top w:type="dxa" w:w="80"/>
              <w:left w:type="dxa" w:w="120"/>
              <w:bottom w:type="dxa" w:w="80"/>
              <w:right w:type="dxa" w:w="120"/>
            </w:tcMar>
          </w:tcPr>
          <w:p>
            <w:r>
              <w:rPr>
                <w:b/>
                <w:bCs/>
                <w:sz w:val="20"/>
                <w:szCs w:val="20"/>
              </w:rPr>
              <w:t xml:space="preserve">1 point</w:t>
            </w:r>
          </w:p>
        </w:tc>
        <w:tc>
          <w:tcPr>
            <w:shd w:fill="EDF2F5" w:color="EDF2F5" w:val="solid"/>
            <w:tcMar>
              <w:top w:type="dxa" w:w="80"/>
              <w:left w:type="dxa" w:w="120"/>
              <w:bottom w:type="dxa" w:w="80"/>
              <w:right w:type="dxa" w:w="120"/>
            </w:tcMar>
          </w:tcPr>
          <w:p>
            <w:r>
              <w:rPr>
                <w:b/>
                <w:bCs/>
                <w:sz w:val="20"/>
                <w:szCs w:val="20"/>
              </w:rPr>
              <w:t xml:space="preserve">0 points</w:t>
            </w:r>
          </w:p>
        </w:tc>
        <w:tc>
          <w:tcPr>
            <w:shd w:fill="EDF2F5" w:color="EDF2F5" w:val="solid"/>
            <w:tcMar>
              <w:top w:type="dxa" w:w="80"/>
              <w:left w:type="dxa" w:w="120"/>
              <w:bottom w:type="dxa" w:w="80"/>
              <w:right w:type="dxa" w:w="120"/>
            </w:tcMar>
          </w:tcPr>
          <w:p>
            <w:r>
              <w:rPr>
                <w:b/>
                <w:bCs/>
                <w:sz w:val="20"/>
                <w:szCs w:val="20"/>
              </w:rPr>
              <w:t xml:space="preserve">Score</w:t>
            </w:r>
          </w:p>
        </w:tc>
        <w:tc>
          <w:tcPr>
            <w:shd w:fill="EDF2F5" w:color="EDF2F5" w:val="solid"/>
            <w:tcMar>
              <w:top w:type="dxa" w:w="80"/>
              <w:left w:type="dxa" w:w="120"/>
              <w:bottom w:type="dxa" w:w="80"/>
              <w:right w:type="dxa" w:w="120"/>
            </w:tcMar>
          </w:tcPr>
          <w:p>
            <w:r>
              <w:rPr>
                <w:b/>
                <w:bCs/>
                <w:sz w:val="20"/>
                <w:szCs w:val="20"/>
              </w:rPr>
              <w:t xml:space="preserve">What to fix first</w:t>
            </w:r>
          </w:p>
        </w:tc>
      </w:tr>
      <w:tr>
        <w:trPr>
          <w:tblHeader w:val="false"/>
        </w:trPr>
        <w:tc>
          <w:tcPr>
            <w:tcMar>
              <w:top w:type="dxa" w:w="80"/>
              <w:left w:type="dxa" w:w="120"/>
              <w:bottom w:type="dxa" w:w="80"/>
              <w:right w:type="dxa" w:w="120"/>
            </w:tcMar>
          </w:tcPr>
          <w:p>
            <w:r>
              <w:rPr>
                <w:b w:val="false"/>
                <w:bCs w:val="false"/>
                <w:sz w:val="20"/>
                <w:szCs w:val="20"/>
              </w:rPr>
              <w:t xml:space="preserve">Fleet size (units)</w:t>
            </w:r>
          </w:p>
        </w:tc>
        <w:tc>
          <w:tcPr>
            <w:tcMar>
              <w:top w:type="dxa" w:w="80"/>
              <w:left w:type="dxa" w:w="120"/>
              <w:bottom w:type="dxa" w:w="80"/>
              <w:right w:type="dxa" w:w="120"/>
            </w:tcMar>
          </w:tcPr>
          <w:p>
            <w:r>
              <w:rPr>
                <w:b w:val="false"/>
                <w:bCs w:val="false"/>
                <w:sz w:val="20"/>
                <w:szCs w:val="20"/>
              </w:rPr>
              <w:t xml:space="preserve">75+ units</w:t>
            </w:r>
          </w:p>
        </w:tc>
        <w:tc>
          <w:tcPr>
            <w:tcMar>
              <w:top w:type="dxa" w:w="80"/>
              <w:left w:type="dxa" w:w="120"/>
              <w:bottom w:type="dxa" w:w="80"/>
              <w:right w:type="dxa" w:w="120"/>
            </w:tcMar>
          </w:tcPr>
          <w:p>
            <w:r>
              <w:rPr>
                <w:b w:val="false"/>
                <w:bCs w:val="false"/>
                <w:sz w:val="20"/>
                <w:szCs w:val="20"/>
              </w:rPr>
              <w:t xml:space="preserve">Roughly 45–75 units</w:t>
            </w:r>
          </w:p>
        </w:tc>
        <w:tc>
          <w:tcPr>
            <w:tcMar>
              <w:top w:type="dxa" w:w="80"/>
              <w:left w:type="dxa" w:w="120"/>
              <w:bottom w:type="dxa" w:w="80"/>
              <w:right w:type="dxa" w:w="120"/>
            </w:tcMar>
          </w:tcPr>
          <w:p>
            <w:r>
              <w:rPr>
                <w:b w:val="false"/>
                <w:bCs w:val="false"/>
                <w:sz w:val="20"/>
                <w:szCs w:val="20"/>
              </w:rPr>
              <w:t xml:space="preserve">Well under 75 units — administrative overhead may exceed the benefit</w:t>
            </w:r>
          </w:p>
        </w:tc>
        <w:tc>
          <w:tcPr>
            <w:tcMar>
              <w:top w:type="dxa" w:w="80"/>
              <w:left w:type="dxa" w:w="120"/>
              <w:bottom w:type="dxa" w:w="80"/>
              <w:right w:type="dxa" w:w="120"/>
            </w:tcMar>
          </w:tcPr>
          <w:p>
            <w:r>
              <w:rPr>
                <w:b/>
                <w:bCs/>
                <w:color w:val="B4531A"/>
                <w:sz w:val="20"/>
                <w:szCs w:val="20"/>
              </w:rPr>
              <w:t xml:space="preserve">[0-2]</w:t>
            </w:r>
          </w:p>
        </w:tc>
        <w:tc>
          <w:tcPr>
            <w:tcMar>
              <w:top w:type="dxa" w:w="80"/>
              <w:left w:type="dxa" w:w="120"/>
              <w:bottom w:type="dxa" w:w="80"/>
              <w:right w:type="dxa" w:w="120"/>
            </w:tcMar>
          </w:tcPr>
          <w:p>
            <w:r>
              <w:rPr>
                <w:b/>
                <w:bCs/>
                <w:color w:val="B4531A"/>
                <w:sz w:val="20"/>
                <w:szCs w:val="20"/>
              </w:rPr>
              <w:t xml:space="preserve">[ACTION]</w:t>
            </w:r>
          </w:p>
        </w:tc>
      </w:tr>
      <w:tr>
        <w:trPr>
          <w:tblHeader w:val="false"/>
        </w:trPr>
        <w:tc>
          <w:tcPr>
            <w:tcMar>
              <w:top w:type="dxa" w:w="80"/>
              <w:left w:type="dxa" w:w="120"/>
              <w:bottom w:type="dxa" w:w="80"/>
              <w:right w:type="dxa" w:w="120"/>
            </w:tcMar>
          </w:tcPr>
          <w:p>
            <w:r>
              <w:rPr>
                <w:b w:val="false"/>
                <w:bCs w:val="false"/>
                <w:sz w:val="20"/>
                <w:szCs w:val="20"/>
              </w:rPr>
              <w:t xml:space="preserve">Replacement funding mechanism</w:t>
            </w:r>
          </w:p>
        </w:tc>
        <w:tc>
          <w:tcPr>
            <w:tcMar>
              <w:top w:type="dxa" w:w="80"/>
              <w:left w:type="dxa" w:w="120"/>
              <w:bottom w:type="dxa" w:w="80"/>
              <w:right w:type="dxa" w:w="120"/>
            </w:tcMar>
          </w:tcPr>
          <w:p>
            <w:r>
              <w:rPr>
                <w:b w:val="false"/>
                <w:bCs w:val="false"/>
                <w:sz w:val="20"/>
                <w:szCs w:val="20"/>
              </w:rPr>
              <w:t xml:space="preserve">An annual appropriation that gets deferred in tight years, or nothing at all</w:t>
            </w:r>
          </w:p>
        </w:tc>
        <w:tc>
          <w:tcPr>
            <w:tcMar>
              <w:top w:type="dxa" w:w="80"/>
              <w:left w:type="dxa" w:w="120"/>
              <w:bottom w:type="dxa" w:w="80"/>
              <w:right w:type="dxa" w:w="120"/>
            </w:tcMar>
          </w:tcPr>
          <w:p>
            <w:r>
              <w:rPr>
                <w:b w:val="false"/>
                <w:bCs w:val="false"/>
                <w:sz w:val="20"/>
                <w:szCs w:val="20"/>
              </w:rPr>
              <w:t xml:space="preserve">A reserve exists but is swept or reallocated</w:t>
            </w:r>
          </w:p>
        </w:tc>
        <w:tc>
          <w:tcPr>
            <w:tcMar>
              <w:top w:type="dxa" w:w="80"/>
              <w:left w:type="dxa" w:w="120"/>
              <w:bottom w:type="dxa" w:w="80"/>
              <w:right w:type="dxa" w:w="120"/>
            </w:tcMar>
          </w:tcPr>
          <w:p>
            <w:r>
              <w:rPr>
                <w:b w:val="false"/>
                <w:bCs w:val="false"/>
                <w:sz w:val="20"/>
                <w:szCs w:val="20"/>
              </w:rPr>
              <w:t xml:space="preserve">A funded, protected replacement reserve already works</w:t>
            </w:r>
          </w:p>
        </w:tc>
        <w:tc>
          <w:tcPr>
            <w:tcMar>
              <w:top w:type="dxa" w:w="80"/>
              <w:left w:type="dxa" w:w="120"/>
              <w:bottom w:type="dxa" w:w="80"/>
              <w:right w:type="dxa" w:w="120"/>
            </w:tcMar>
          </w:tcPr>
          <w:p>
            <w:r>
              <w:rPr>
                <w:b/>
                <w:bCs/>
                <w:color w:val="B4531A"/>
                <w:sz w:val="20"/>
                <w:szCs w:val="20"/>
              </w:rPr>
              <w:t xml:space="preserve">[0-2]</w:t>
            </w:r>
          </w:p>
        </w:tc>
        <w:tc>
          <w:tcPr>
            <w:tcMar>
              <w:top w:type="dxa" w:w="80"/>
              <w:left w:type="dxa" w:w="120"/>
              <w:bottom w:type="dxa" w:w="80"/>
              <w:right w:type="dxa" w:w="120"/>
            </w:tcMar>
          </w:tcPr>
          <w:p>
            <w:r>
              <w:rPr>
                <w:b/>
                <w:bCs/>
                <w:color w:val="B4531A"/>
                <w:sz w:val="20"/>
                <w:szCs w:val="20"/>
              </w:rPr>
              <w:t xml:space="preserve">[ACTION]</w:t>
            </w:r>
          </w:p>
        </w:tc>
      </w:tr>
      <w:tr>
        <w:trPr>
          <w:tblHeader w:val="false"/>
        </w:trPr>
        <w:tc>
          <w:tcPr>
            <w:tcMar>
              <w:top w:type="dxa" w:w="80"/>
              <w:left w:type="dxa" w:w="120"/>
              <w:bottom w:type="dxa" w:w="80"/>
              <w:right w:type="dxa" w:w="120"/>
            </w:tcMar>
          </w:tcPr>
          <w:p>
            <w:r>
              <w:rPr>
                <w:b w:val="false"/>
                <w:bCs w:val="false"/>
                <w:sz w:val="20"/>
                <w:szCs w:val="20"/>
              </w:rPr>
              <w:t xml:space="preserve">Department behaviour</w:t>
            </w:r>
          </w:p>
        </w:tc>
        <w:tc>
          <w:tcPr>
            <w:tcMar>
              <w:top w:type="dxa" w:w="80"/>
              <w:left w:type="dxa" w:w="120"/>
              <w:bottom w:type="dxa" w:w="80"/>
              <w:right w:type="dxa" w:w="120"/>
            </w:tcMar>
          </w:tcPr>
          <w:p>
            <w:r>
              <w:rPr>
                <w:b w:val="false"/>
                <w:bCs w:val="false"/>
                <w:sz w:val="20"/>
                <w:szCs w:val="20"/>
              </w:rPr>
              <w:t xml:space="preserve">Departments hold vehicles they rarely use, and nothing makes them give any back</w:t>
            </w:r>
          </w:p>
        </w:tc>
        <w:tc>
          <w:tcPr>
            <w:tcMar>
              <w:top w:type="dxa" w:w="80"/>
              <w:left w:type="dxa" w:w="120"/>
              <w:bottom w:type="dxa" w:w="80"/>
              <w:right w:type="dxa" w:w="120"/>
            </w:tcMar>
          </w:tcPr>
          <w:p>
            <w:r>
              <w:rPr>
                <w:b w:val="false"/>
                <w:bCs w:val="false"/>
                <w:sz w:val="20"/>
                <w:szCs w:val="20"/>
              </w:rPr>
              <w:t xml:space="preserve">Some low-use units, no mechanism to surface them</w:t>
            </w:r>
          </w:p>
        </w:tc>
        <w:tc>
          <w:tcPr>
            <w:tcMar>
              <w:top w:type="dxa" w:w="80"/>
              <w:left w:type="dxa" w:w="120"/>
              <w:bottom w:type="dxa" w:w="80"/>
              <w:right w:type="dxa" w:w="120"/>
            </w:tcMar>
          </w:tcPr>
          <w:p>
            <w:r>
              <w:rPr>
                <w:b w:val="false"/>
                <w:bCs w:val="false"/>
                <w:sz w:val="20"/>
                <w:szCs w:val="20"/>
              </w:rPr>
              <w:t xml:space="preserve">Utilisation is already actively managed</w:t>
            </w:r>
          </w:p>
        </w:tc>
        <w:tc>
          <w:tcPr>
            <w:tcMar>
              <w:top w:type="dxa" w:w="80"/>
              <w:left w:type="dxa" w:w="120"/>
              <w:bottom w:type="dxa" w:w="80"/>
              <w:right w:type="dxa" w:w="120"/>
            </w:tcMar>
          </w:tcPr>
          <w:p>
            <w:r>
              <w:rPr>
                <w:b/>
                <w:bCs/>
                <w:color w:val="B4531A"/>
                <w:sz w:val="20"/>
                <w:szCs w:val="20"/>
              </w:rPr>
              <w:t xml:space="preserve">[0-2]</w:t>
            </w:r>
          </w:p>
        </w:tc>
        <w:tc>
          <w:tcPr>
            <w:tcMar>
              <w:top w:type="dxa" w:w="80"/>
              <w:left w:type="dxa" w:w="120"/>
              <w:bottom w:type="dxa" w:w="80"/>
              <w:right w:type="dxa" w:w="120"/>
            </w:tcMar>
          </w:tcPr>
          <w:p>
            <w:r>
              <w:rPr>
                <w:b/>
                <w:bCs/>
                <w:color w:val="B4531A"/>
                <w:sz w:val="20"/>
                <w:szCs w:val="20"/>
              </w:rPr>
              <w:t xml:space="preserve">[ACTION]</w:t>
            </w:r>
          </w:p>
        </w:tc>
      </w:tr>
      <w:tr>
        <w:trPr>
          <w:tblHeader w:val="false"/>
        </w:trPr>
        <w:tc>
          <w:tcPr>
            <w:tcMar>
              <w:top w:type="dxa" w:w="80"/>
              <w:left w:type="dxa" w:w="120"/>
              <w:bottom w:type="dxa" w:w="80"/>
              <w:right w:type="dxa" w:w="120"/>
            </w:tcMar>
          </w:tcPr>
          <w:p>
            <w:r>
              <w:rPr>
                <w:b w:val="false"/>
                <w:bCs w:val="false"/>
                <w:sz w:val="20"/>
                <w:szCs w:val="20"/>
              </w:rPr>
              <w:t xml:space="preserve">Cost data quality</w:t>
            </w:r>
          </w:p>
        </w:tc>
        <w:tc>
          <w:tcPr>
            <w:tcMar>
              <w:top w:type="dxa" w:w="80"/>
              <w:left w:type="dxa" w:w="120"/>
              <w:bottom w:type="dxa" w:w="80"/>
              <w:right w:type="dxa" w:w="120"/>
            </w:tcMar>
          </w:tcPr>
          <w:p>
            <w:r>
              <w:rPr>
                <w:b w:val="false"/>
                <w:bCs w:val="false"/>
                <w:sz w:val="20"/>
                <w:szCs w:val="20"/>
              </w:rPr>
              <w:t xml:space="preserve">Trailing cost per unit is produced today with reasonable confidence</w:t>
            </w:r>
          </w:p>
        </w:tc>
        <w:tc>
          <w:tcPr>
            <w:tcMar>
              <w:top w:type="dxa" w:w="80"/>
              <w:left w:type="dxa" w:w="120"/>
              <w:bottom w:type="dxa" w:w="80"/>
              <w:right w:type="dxa" w:w="120"/>
            </w:tcMar>
          </w:tcPr>
          <w:p>
            <w:r>
              <w:rPr>
                <w:b w:val="false"/>
                <w:bCs w:val="false"/>
                <w:sz w:val="20"/>
                <w:szCs w:val="20"/>
              </w:rPr>
              <w:t xml:space="preserve">Cost per unit is reconstructable with effort</w:t>
            </w:r>
          </w:p>
        </w:tc>
        <w:tc>
          <w:tcPr>
            <w:tcMar>
              <w:top w:type="dxa" w:w="80"/>
              <w:left w:type="dxa" w:w="120"/>
              <w:bottom w:type="dxa" w:w="80"/>
              <w:right w:type="dxa" w:w="120"/>
            </w:tcMar>
          </w:tcPr>
          <w:p>
            <w:r>
              <w:rPr>
                <w:b w:val="false"/>
                <w:bCs w:val="false"/>
                <w:sz w:val="20"/>
                <w:szCs w:val="20"/>
              </w:rPr>
              <w:t xml:space="preserve">Costs cannot be attributed to units — fix this first</w:t>
            </w:r>
          </w:p>
        </w:tc>
        <w:tc>
          <w:tcPr>
            <w:tcMar>
              <w:top w:type="dxa" w:w="80"/>
              <w:left w:type="dxa" w:w="120"/>
              <w:bottom w:type="dxa" w:w="80"/>
              <w:right w:type="dxa" w:w="120"/>
            </w:tcMar>
          </w:tcPr>
          <w:p>
            <w:r>
              <w:rPr>
                <w:b/>
                <w:bCs/>
                <w:color w:val="B4531A"/>
                <w:sz w:val="20"/>
                <w:szCs w:val="20"/>
              </w:rPr>
              <w:t xml:space="preserve">[0-2]</w:t>
            </w:r>
          </w:p>
        </w:tc>
        <w:tc>
          <w:tcPr>
            <w:tcMar>
              <w:top w:type="dxa" w:w="80"/>
              <w:left w:type="dxa" w:w="120"/>
              <w:bottom w:type="dxa" w:w="80"/>
              <w:right w:type="dxa" w:w="120"/>
            </w:tcMar>
          </w:tcPr>
          <w:p>
            <w:r>
              <w:rPr>
                <w:b/>
                <w:bCs/>
                <w:color w:val="B4531A"/>
                <w:sz w:val="20"/>
                <w:szCs w:val="20"/>
              </w:rPr>
              <w:t xml:space="preserve">[ACTION]</w:t>
            </w:r>
          </w:p>
        </w:tc>
      </w:tr>
      <w:tr>
        <w:trPr>
          <w:tblHeader w:val="false"/>
        </w:trPr>
        <w:tc>
          <w:tcPr>
            <w:tcMar>
              <w:top w:type="dxa" w:w="80"/>
              <w:left w:type="dxa" w:w="120"/>
              <w:bottom w:type="dxa" w:w="80"/>
              <w:right w:type="dxa" w:w="120"/>
            </w:tcMar>
          </w:tcPr>
          <w:p>
            <w:r>
              <w:rPr>
                <w:b w:val="false"/>
                <w:bCs w:val="false"/>
                <w:sz w:val="20"/>
                <w:szCs w:val="20"/>
              </w:rPr>
              <w:t xml:space="preserve">Finance capacity</w:t>
            </w:r>
          </w:p>
        </w:tc>
        <w:tc>
          <w:tcPr>
            <w:tcMar>
              <w:top w:type="dxa" w:w="80"/>
              <w:left w:type="dxa" w:w="120"/>
              <w:bottom w:type="dxa" w:w="80"/>
              <w:right w:type="dxa" w:w="120"/>
            </w:tcMar>
          </w:tcPr>
          <w:p>
            <w:r>
              <w:rPr>
                <w:b w:val="false"/>
                <w:bCs w:val="false"/>
                <w:sz w:val="20"/>
                <w:szCs w:val="20"/>
              </w:rPr>
              <w:t xml:space="preserve">Finance has run proprietary fund accounting before and is in the room already</w:t>
            </w:r>
          </w:p>
        </w:tc>
        <w:tc>
          <w:tcPr>
            <w:tcMar>
              <w:top w:type="dxa" w:w="80"/>
              <w:left w:type="dxa" w:w="120"/>
              <w:bottom w:type="dxa" w:w="80"/>
              <w:right w:type="dxa" w:w="120"/>
            </w:tcMar>
          </w:tcPr>
          <w:p>
            <w:r>
              <w:rPr>
                <w:b w:val="false"/>
                <w:bCs w:val="false"/>
                <w:sz w:val="20"/>
                <w:szCs w:val="20"/>
              </w:rPr>
              <w:t xml:space="preserve">Finance is willing but has no proprietary fund experience</w:t>
            </w:r>
          </w:p>
        </w:tc>
        <w:tc>
          <w:tcPr>
            <w:tcMar>
              <w:top w:type="dxa" w:w="80"/>
              <w:left w:type="dxa" w:w="120"/>
              <w:bottom w:type="dxa" w:w="80"/>
              <w:right w:type="dxa" w:w="120"/>
            </w:tcMar>
          </w:tcPr>
          <w:p>
            <w:r>
              <w:rPr>
                <w:b w:val="false"/>
                <w:bCs w:val="false"/>
                <w:sz w:val="20"/>
                <w:szCs w:val="20"/>
              </w:rPr>
              <w:t xml:space="preserve">Finance has not been asked</w:t>
            </w:r>
          </w:p>
        </w:tc>
        <w:tc>
          <w:tcPr>
            <w:tcMar>
              <w:top w:type="dxa" w:w="80"/>
              <w:left w:type="dxa" w:w="120"/>
              <w:bottom w:type="dxa" w:w="80"/>
              <w:right w:type="dxa" w:w="120"/>
            </w:tcMar>
          </w:tcPr>
          <w:p>
            <w:r>
              <w:rPr>
                <w:b/>
                <w:bCs/>
                <w:color w:val="B4531A"/>
                <w:sz w:val="20"/>
                <w:szCs w:val="20"/>
              </w:rPr>
              <w:t xml:space="preserve">[0-2]</w:t>
            </w:r>
          </w:p>
        </w:tc>
        <w:tc>
          <w:tcPr>
            <w:tcMar>
              <w:top w:type="dxa" w:w="80"/>
              <w:left w:type="dxa" w:w="120"/>
              <w:bottom w:type="dxa" w:w="80"/>
              <w:right w:type="dxa" w:w="120"/>
            </w:tcMar>
          </w:tcPr>
          <w:p>
            <w:r>
              <w:rPr>
                <w:b/>
                <w:bCs/>
                <w:color w:val="B4531A"/>
                <w:sz w:val="20"/>
                <w:szCs w:val="20"/>
              </w:rPr>
              <w:t xml:space="preserve">[ACTION]</w:t>
            </w:r>
          </w:p>
        </w:tc>
      </w:tr>
      <w:tr>
        <w:trPr>
          <w:tblHeader w:val="false"/>
        </w:trPr>
        <w:tc>
          <w:tcPr>
            <w:tcMar>
              <w:top w:type="dxa" w:w="80"/>
              <w:left w:type="dxa" w:w="120"/>
              <w:bottom w:type="dxa" w:w="80"/>
              <w:right w:type="dxa" w:w="120"/>
            </w:tcMar>
          </w:tcPr>
          <w:p>
            <w:r>
              <w:rPr>
                <w:b w:val="false"/>
                <w:bCs w:val="false"/>
                <w:sz w:val="20"/>
                <w:szCs w:val="20"/>
              </w:rPr>
              <w:t xml:space="preserve">TOTAL</w:t>
            </w:r>
          </w:p>
        </w:tc>
        <w:tc>
          <w:tcPr>
            <w:tcMar>
              <w:top w:type="dxa" w:w="80"/>
              <w:left w:type="dxa" w:w="120"/>
              <w:bottom w:type="dxa" w:w="80"/>
              <w:right w:type="dxa" w:w="120"/>
            </w:tcMar>
          </w:tcPr>
          <w:p/>
        </w:tc>
        <w:tc>
          <w:tcPr>
            <w:tcMar>
              <w:top w:type="dxa" w:w="80"/>
              <w:left w:type="dxa" w:w="120"/>
              <w:bottom w:type="dxa" w:w="80"/>
              <w:right w:type="dxa" w:w="120"/>
            </w:tcMar>
          </w:tcPr>
          <w:p/>
        </w:tc>
        <w:tc>
          <w:tcPr>
            <w:tcMar>
              <w:top w:type="dxa" w:w="80"/>
              <w:left w:type="dxa" w:w="120"/>
              <w:bottom w:type="dxa" w:w="80"/>
              <w:right w:type="dxa" w:w="120"/>
            </w:tcMar>
          </w:tcPr>
          <w:p/>
        </w:tc>
        <w:tc>
          <w:tcPr>
            <w:tcMar>
              <w:top w:type="dxa" w:w="80"/>
              <w:left w:type="dxa" w:w="120"/>
              <w:bottom w:type="dxa" w:w="80"/>
              <w:right w:type="dxa" w:w="120"/>
            </w:tcMar>
          </w:tcPr>
          <w:p>
            <w:r>
              <w:rPr>
                <w:b/>
                <w:bCs/>
                <w:color w:val="B4531A"/>
                <w:sz w:val="20"/>
                <w:szCs w:val="20"/>
              </w:rPr>
              <w:t xml:space="preserve">[N]</w:t>
            </w:r>
            <w:r>
              <w:rPr>
                <w:b w:val="false"/>
                <w:bCs w:val="false"/>
                <w:sz w:val="20"/>
                <w:szCs w:val="20"/>
              </w:rPr>
              <w:t xml:space="preserve"> / 10</w:t>
            </w:r>
          </w:p>
        </w:tc>
        <w:tc>
          <w:tcPr>
            <w:tcMar>
              <w:top w:type="dxa" w:w="80"/>
              <w:left w:type="dxa" w:w="120"/>
              <w:bottom w:type="dxa" w:w="80"/>
              <w:right w:type="dxa" w:w="120"/>
            </w:tcMar>
          </w:tcPr>
          <w:p/>
        </w:tc>
      </w:tr>
    </w:tbl>
    <w:p>
      <w:pPr>
        <w:spacing w:after="120"/>
      </w:pPr>
      <w: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DF2F5" w:color="EDF2F5" w:val="solid"/>
            <w:tcMar>
              <w:top w:type="dxa" w:w="80"/>
              <w:left w:type="dxa" w:w="120"/>
              <w:bottom w:type="dxa" w:w="80"/>
              <w:right w:type="dxa" w:w="120"/>
            </w:tcMar>
          </w:tcPr>
          <w:p>
            <w:r>
              <w:rPr>
                <w:b/>
                <w:bCs/>
                <w:sz w:val="20"/>
                <w:szCs w:val="20"/>
              </w:rPr>
              <w:t xml:space="preserve">Total score</w:t>
            </w:r>
          </w:p>
        </w:tc>
        <w:tc>
          <w:tcPr>
            <w:shd w:fill="EDF2F5" w:color="EDF2F5" w:val="solid"/>
            <w:tcMar>
              <w:top w:type="dxa" w:w="80"/>
              <w:left w:type="dxa" w:w="120"/>
              <w:bottom w:type="dxa" w:w="80"/>
              <w:right w:type="dxa" w:w="120"/>
            </w:tcMar>
          </w:tcPr>
          <w:p>
            <w:r>
              <w:rPr>
                <w:b/>
                <w:bCs/>
                <w:sz w:val="20"/>
                <w:szCs w:val="20"/>
              </w:rPr>
              <w:t xml:space="preserve">Band</w:t>
            </w:r>
          </w:p>
        </w:tc>
      </w:tr>
      <w:tr>
        <w:trPr>
          <w:tblHeader w:val="false"/>
        </w:trPr>
        <w:tc>
          <w:tcPr>
            <w:tcMar>
              <w:top w:type="dxa" w:w="80"/>
              <w:left w:type="dxa" w:w="120"/>
              <w:bottom w:type="dxa" w:w="80"/>
              <w:right w:type="dxa" w:w="120"/>
            </w:tcMar>
          </w:tcPr>
          <w:p>
            <w:r>
              <w:rPr>
                <w:b w:val="false"/>
                <w:bCs w:val="false"/>
                <w:sz w:val="20"/>
                <w:szCs w:val="20"/>
              </w:rPr>
              <w:t xml:space="preserve">8–10</w:t>
            </w:r>
          </w:p>
        </w:tc>
        <w:tc>
          <w:tcPr>
            <w:tcMar>
              <w:top w:type="dxa" w:w="80"/>
              <w:left w:type="dxa" w:w="120"/>
              <w:bottom w:type="dxa" w:w="80"/>
              <w:right w:type="dxa" w:w="120"/>
            </w:tcMar>
          </w:tcPr>
          <w:p>
            <w:r>
              <w:rPr>
                <w:b w:val="false"/>
                <w:bCs w:val="false"/>
                <w:sz w:val="20"/>
                <w:szCs w:val="20"/>
              </w:rPr>
              <w:t xml:space="preserve">Proceed — build the opening position and the rates</w:t>
            </w:r>
          </w:p>
        </w:tc>
      </w:tr>
      <w:tr>
        <w:trPr>
          <w:tblHeader w:val="false"/>
        </w:trPr>
        <w:tc>
          <w:tcPr>
            <w:tcMar>
              <w:top w:type="dxa" w:w="80"/>
              <w:left w:type="dxa" w:w="120"/>
              <w:bottom w:type="dxa" w:w="80"/>
              <w:right w:type="dxa" w:w="120"/>
            </w:tcMar>
          </w:tcPr>
          <w:p>
            <w:r>
              <w:rPr>
                <w:b w:val="false"/>
                <w:bCs w:val="false"/>
                <w:sz w:val="20"/>
                <w:szCs w:val="20"/>
              </w:rPr>
              <w:t xml:space="preserve">5–7</w:t>
            </w:r>
          </w:p>
        </w:tc>
        <w:tc>
          <w:tcPr>
            <w:tcMar>
              <w:top w:type="dxa" w:w="80"/>
              <w:left w:type="dxa" w:w="120"/>
              <w:bottom w:type="dxa" w:w="80"/>
              <w:right w:type="dxa" w:w="120"/>
            </w:tcMar>
          </w:tcPr>
          <w:p>
            <w:r>
              <w:rPr>
                <w:b w:val="false"/>
                <w:bCs w:val="false"/>
                <w:sz w:val="20"/>
                <w:szCs w:val="20"/>
              </w:rPr>
              <w:t xml:space="preserve">Prepare first — fix the weakest signal before proposing anything</w:t>
            </w:r>
          </w:p>
        </w:tc>
      </w:tr>
      <w:tr>
        <w:trPr>
          <w:tblHeader w:val="false"/>
        </w:trPr>
        <w:tc>
          <w:tcPr>
            <w:tcMar>
              <w:top w:type="dxa" w:w="80"/>
              <w:left w:type="dxa" w:w="120"/>
              <w:bottom w:type="dxa" w:w="80"/>
              <w:right w:type="dxa" w:w="120"/>
            </w:tcMar>
          </w:tcPr>
          <w:p>
            <w:r>
              <w:rPr>
                <w:b w:val="false"/>
                <w:bCs w:val="false"/>
                <w:sz w:val="20"/>
                <w:szCs w:val="20"/>
              </w:rPr>
              <w:t xml:space="preserve">0–4</w:t>
            </w:r>
          </w:p>
        </w:tc>
        <w:tc>
          <w:tcPr>
            <w:tcMar>
              <w:top w:type="dxa" w:w="80"/>
              <w:left w:type="dxa" w:w="120"/>
              <w:bottom w:type="dxa" w:w="80"/>
              <w:right w:type="dxa" w:w="120"/>
            </w:tcMar>
          </w:tcPr>
          <w:p>
            <w:r>
              <w:rPr>
                <w:b w:val="false"/>
                <w:bCs w:val="false"/>
                <w:sz w:val="20"/>
                <w:szCs w:val="20"/>
              </w:rPr>
              <w:t xml:space="preserve">Do not proceed yet — an ISF built on this converts a management problem into an accounting problem</w:t>
            </w:r>
          </w:p>
        </w:tc>
      </w:tr>
    </w:tbl>
    <w:p>
      <w:pPr>
        <w:spacing w:after="120"/>
      </w:pPr>
      <w:r>
        <w:t xml:space="preserve"/>
      </w:r>
    </w:p>
    <w:tbl>
      <w:tblPr>
        <w:tblW w:type="pct" w:w="100%"/>
        <w:tblBorders>
          <w:top w:val="single" w:color="B4531A" w:sz="6"/>
          <w:left w:val="single" w:color="B4531A" w:sz="6"/>
          <w:bottom w:val="single" w:color="B4531A" w:sz="6"/>
          <w:right w:val="single" w:color="B4531A" w:sz="6"/>
          <w:insideH w:val="none" w:color="FFFFFF" w:sz="0"/>
          <w:insideV w:val="none" w:color="FFFFFF" w:sz="0"/>
        </w:tblBorders>
      </w:tblPr>
      <w:tblGrid>
        <w:gridCol w:w="100"/>
      </w:tblGrid>
      <w:tr>
        <w:tc>
          <w:tcPr>
            <w:shd w:fill="FDF6EC" w:color="FDF6EC" w:val="solid"/>
            <w:tcMar>
              <w:top w:type="dxa" w:w="120"/>
              <w:left w:type="dxa" w:w="160"/>
              <w:bottom w:type="dxa" w:w="120"/>
              <w:right w:type="dxa" w:w="160"/>
            </w:tcMar>
          </w:tcPr>
          <w:p>
            <w:pPr>
              <w:spacing w:after="80"/>
            </w:pPr>
            <w:r>
              <w:rPr>
                <w:b/>
                <w:bCs/>
                <w:sz w:val="18"/>
                <w:szCs w:val="18"/>
              </w:rPr>
              <w:t xml:space="preserve">Delete this box before circulating.</w:t>
            </w:r>
          </w:p>
          <w:p>
            <w:pPr>
              <w:spacing w:after="50"/>
            </w:pPr>
            <w:r>
              <w:rPr>
                <w:sz w:val="18"/>
                <w:szCs w:val="18"/>
              </w:rPr>
              <w:t xml:space="preserve">These five signals come from the guide. The 0/1/2 scoring and the two band edges are editorial — no standard scores fund-conversion readiness, and these thresholds are a way of forcing the conversation, not a measurement.</w:t>
            </w:r>
          </w:p>
          <w:p>
            <w:pPr>
              <w:spacing w:after="50"/>
            </w:pPr>
            <w:r>
              <w:rPr>
                <w:sz w:val="18"/>
                <w:szCs w:val="18"/>
              </w:rPr>
              <w:t xml:space="preserve">The fleet-size signal is roughly 75+ units, below which administrative overhead may exceed the benefit. It is the guide’s figure, not a published threshold.</w:t>
            </w:r>
          </w:p>
          <w:p>
            <w:pPr>
              <w:spacing w:after="50"/>
            </w:pPr>
            <w:r>
              <w:rPr>
                <w:sz w:val="18"/>
                <w:szCs w:val="18"/>
              </w:rPr>
              <w:t xml:space="preserve">If cost data quality scores zero, fix that before anything else. An ISF built on rates you cannot defend converts a management problem into an accounting problem and adds a deficit on top.</w:t>
            </w:r>
          </w:p>
        </w:tc>
      </w:tr>
    </w:tbl>
    <w:p>
      <w:pPr>
        <w:pStyle w:val="Heading1"/>
        <w:spacing w:after="120" w:before="260"/>
      </w:pPr>
      <w:r>
        <w:t xml:space="preserve">3. Governance — who authors, who approves, what council adopts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EDF2F5" w:color="EDF2F5" w:val="solid"/>
            <w:tcMar>
              <w:top w:type="dxa" w:w="80"/>
              <w:left w:type="dxa" w:w="120"/>
              <w:bottom w:type="dxa" w:w="80"/>
              <w:right w:type="dxa" w:w="120"/>
            </w:tcMar>
          </w:tcPr>
          <w:p>
            <w:r>
              <w:rPr>
                <w:b/>
                <w:bCs/>
                <w:sz w:val="20"/>
                <w:szCs w:val="20"/>
              </w:rPr>
              <w:t xml:space="preserve">Instrument</w:t>
            </w:r>
          </w:p>
        </w:tc>
        <w:tc>
          <w:tcPr>
            <w:shd w:fill="EDF2F5" w:color="EDF2F5" w:val="solid"/>
            <w:tcMar>
              <w:top w:type="dxa" w:w="80"/>
              <w:left w:type="dxa" w:w="120"/>
              <w:bottom w:type="dxa" w:w="80"/>
              <w:right w:type="dxa" w:w="120"/>
            </w:tcMar>
          </w:tcPr>
          <w:p>
            <w:r>
              <w:rPr>
                <w:b/>
                <w:bCs/>
                <w:sz w:val="20"/>
                <w:szCs w:val="20"/>
              </w:rPr>
              <w:t xml:space="preserve">What it covers</w:t>
            </w:r>
          </w:p>
        </w:tc>
        <w:tc>
          <w:tcPr>
            <w:shd w:fill="EDF2F5" w:color="EDF2F5" w:val="solid"/>
            <w:tcMar>
              <w:top w:type="dxa" w:w="80"/>
              <w:left w:type="dxa" w:w="120"/>
              <w:bottom w:type="dxa" w:w="80"/>
              <w:right w:type="dxa" w:w="120"/>
            </w:tcMar>
          </w:tcPr>
          <w:p>
            <w:r>
              <w:rPr>
                <w:b/>
                <w:bCs/>
                <w:sz w:val="20"/>
                <w:szCs w:val="20"/>
              </w:rPr>
              <w:t xml:space="preserve">Who drafts</w:t>
            </w:r>
          </w:p>
        </w:tc>
        <w:tc>
          <w:tcPr>
            <w:shd w:fill="EDF2F5" w:color="EDF2F5" w:val="solid"/>
            <w:tcMar>
              <w:top w:type="dxa" w:w="80"/>
              <w:left w:type="dxa" w:w="120"/>
              <w:bottom w:type="dxa" w:w="80"/>
              <w:right w:type="dxa" w:w="120"/>
            </w:tcMar>
          </w:tcPr>
          <w:p>
            <w:r>
              <w:rPr>
                <w:b/>
                <w:bCs/>
                <w:sz w:val="20"/>
                <w:szCs w:val="20"/>
              </w:rPr>
              <w:t xml:space="preserve">Who adopts</w:t>
            </w:r>
          </w:p>
        </w:tc>
      </w:tr>
      <w:tr>
        <w:trPr>
          <w:tblHeader w:val="false"/>
        </w:trPr>
        <w:tc>
          <w:tcPr>
            <w:tcMar>
              <w:top w:type="dxa" w:w="80"/>
              <w:left w:type="dxa" w:w="120"/>
              <w:bottom w:type="dxa" w:w="80"/>
              <w:right w:type="dxa" w:w="120"/>
            </w:tcMar>
          </w:tcPr>
          <w:p>
            <w:r>
              <w:rPr>
                <w:b w:val="false"/>
                <w:bCs w:val="false"/>
                <w:sz w:val="20"/>
                <w:szCs w:val="20"/>
              </w:rPr>
              <w:t xml:space="preserve">Resolution or ordinance establishing the fund</w:t>
            </w:r>
          </w:p>
        </w:tc>
        <w:tc>
          <w:tcPr>
            <w:tcMar>
              <w:top w:type="dxa" w:w="80"/>
              <w:left w:type="dxa" w:w="120"/>
              <w:bottom w:type="dxa" w:w="80"/>
              <w:right w:type="dxa" w:w="120"/>
            </w:tcMar>
          </w:tcPr>
          <w:p>
            <w:r>
              <w:rPr>
                <w:b w:val="false"/>
                <w:bCs w:val="false"/>
                <w:sz w:val="20"/>
                <w:szCs w:val="20"/>
              </w:rPr>
              <w:t xml:space="preserve">Fund number and name, cost-reimbursement basis, break-even intent, working capital target</w:t>
            </w:r>
          </w:p>
        </w:tc>
        <w:tc>
          <w:tcPr>
            <w:tcMar>
              <w:top w:type="dxa" w:w="80"/>
              <w:left w:type="dxa" w:w="120"/>
              <w:bottom w:type="dxa" w:w="80"/>
              <w:right w:type="dxa" w:w="120"/>
            </w:tcMar>
          </w:tcPr>
          <w:p>
            <w:r>
              <w:rPr>
                <w:b w:val="false"/>
                <w:bCs w:val="false"/>
                <w:sz w:val="20"/>
                <w:szCs w:val="20"/>
              </w:rPr>
              <w:t xml:space="preserve">Finance, with fleet — </w:t>
            </w:r>
            <w:r>
              <w:rPr>
                <w:b/>
                <w:bCs/>
                <w:color w:val="B4531A"/>
                <w:sz w:val="20"/>
                <w:szCs w:val="20"/>
              </w:rPr>
              <w:t xml:space="preserve">[NAME]</w:t>
            </w:r>
          </w:p>
        </w:tc>
        <w:tc>
          <w:tcPr>
            <w:tcMar>
              <w:top w:type="dxa" w:w="80"/>
              <w:left w:type="dxa" w:w="120"/>
              <w:bottom w:type="dxa" w:w="80"/>
              <w:right w:type="dxa" w:w="120"/>
            </w:tcMar>
          </w:tcPr>
          <w:p>
            <w:r>
              <w:rPr>
                <w:b/>
                <w:bCs/>
                <w:color w:val="B4531A"/>
                <w:sz w:val="20"/>
                <w:szCs w:val="20"/>
              </w:rPr>
              <w:t xml:space="preserve">[COUNCIL / BOARD]</w:t>
            </w:r>
            <w:r>
              <w:rPr>
                <w:b w:val="false"/>
                <w:bCs w:val="false"/>
                <w:sz w:val="20"/>
                <w:szCs w:val="20"/>
              </w:rPr>
              <w:t xml:space="preserve">, </w:t>
            </w:r>
            <w:r>
              <w:rPr>
                <w:b/>
                <w:bCs/>
                <w:color w:val="B4531A"/>
                <w:sz w:val="20"/>
                <w:szCs w:val="20"/>
              </w:rPr>
              <w:t xml:space="preserve">[DATE]</w:t>
            </w:r>
          </w:p>
        </w:tc>
      </w:tr>
      <w:tr>
        <w:trPr>
          <w:tblHeader w:val="false"/>
        </w:trPr>
        <w:tc>
          <w:tcPr>
            <w:tcMar>
              <w:top w:type="dxa" w:w="80"/>
              <w:left w:type="dxa" w:w="120"/>
              <w:bottom w:type="dxa" w:w="80"/>
              <w:right w:type="dxa" w:w="120"/>
            </w:tcMar>
          </w:tcPr>
          <w:p>
            <w:r>
              <w:rPr>
                <w:b w:val="false"/>
                <w:bCs w:val="false"/>
                <w:sz w:val="20"/>
                <w:szCs w:val="20"/>
              </w:rPr>
              <w:t xml:space="preserve">Rate methodology</w:t>
            </w:r>
          </w:p>
        </w:tc>
        <w:tc>
          <w:tcPr>
            <w:tcMar>
              <w:top w:type="dxa" w:w="80"/>
              <w:left w:type="dxa" w:w="120"/>
              <w:bottom w:type="dxa" w:w="80"/>
              <w:right w:type="dxa" w:w="120"/>
            </w:tcMar>
          </w:tcPr>
          <w:p>
            <w:r>
              <w:rPr>
                <w:b w:val="false"/>
                <w:bCs w:val="false"/>
                <w:sz w:val="20"/>
                <w:szCs w:val="20"/>
              </w:rPr>
              <w:t xml:space="preserve">How the fixed monthly charge and the variable rate per mile are built, the escalation basis, and the cost recovery target</w:t>
            </w:r>
          </w:p>
        </w:tc>
        <w:tc>
          <w:tcPr>
            <w:tcMar>
              <w:top w:type="dxa" w:w="80"/>
              <w:left w:type="dxa" w:w="120"/>
              <w:bottom w:type="dxa" w:w="80"/>
              <w:right w:type="dxa" w:w="120"/>
            </w:tcMar>
          </w:tcPr>
          <w:p>
            <w:r>
              <w:rPr>
                <w:b w:val="false"/>
                <w:bCs w:val="false"/>
                <w:sz w:val="20"/>
                <w:szCs w:val="20"/>
              </w:rPr>
              <w:t xml:space="preserve">Fleet, reviewed by finance — </w:t>
            </w:r>
            <w:r>
              <w:rPr>
                <w:b/>
                <w:bCs/>
                <w:color w:val="B4531A"/>
                <w:sz w:val="20"/>
                <w:szCs w:val="20"/>
              </w:rPr>
              <w:t xml:space="preserve">[NAME]</w:t>
            </w:r>
          </w:p>
        </w:tc>
        <w:tc>
          <w:tcPr>
            <w:tcMar>
              <w:top w:type="dxa" w:w="80"/>
              <w:left w:type="dxa" w:w="120"/>
              <w:bottom w:type="dxa" w:w="80"/>
              <w:right w:type="dxa" w:w="120"/>
            </w:tcMar>
          </w:tcPr>
          <w:p>
            <w:r>
              <w:rPr>
                <w:b/>
                <w:bCs/>
                <w:color w:val="B4531A"/>
                <w:sz w:val="20"/>
                <w:szCs w:val="20"/>
              </w:rPr>
              <w:t xml:space="preserve">[COUNCIL / BOARD]</w:t>
            </w:r>
            <w:r>
              <w:rPr>
                <w:b w:val="false"/>
                <w:bCs w:val="false"/>
                <w:sz w:val="20"/>
                <w:szCs w:val="20"/>
              </w:rPr>
              <w:t xml:space="preserve">, </w:t>
            </w:r>
            <w:r>
              <w:rPr>
                <w:b/>
                <w:bCs/>
                <w:color w:val="B4531A"/>
                <w:sz w:val="20"/>
                <w:szCs w:val="20"/>
              </w:rPr>
              <w:t xml:space="preserve">[DATE]</w:t>
            </w:r>
          </w:p>
        </w:tc>
      </w:tr>
      <w:tr>
        <w:trPr>
          <w:tblHeader w:val="false"/>
        </w:trPr>
        <w:tc>
          <w:tcPr>
            <w:tcMar>
              <w:top w:type="dxa" w:w="80"/>
              <w:left w:type="dxa" w:w="120"/>
              <w:bottom w:type="dxa" w:w="80"/>
              <w:right w:type="dxa" w:w="120"/>
            </w:tcMar>
          </w:tcPr>
          <w:p>
            <w:r>
              <w:rPr>
                <w:b w:val="false"/>
                <w:bCs w:val="false"/>
                <w:sz w:val="20"/>
                <w:szCs w:val="20"/>
              </w:rPr>
              <w:t xml:space="preserve">Vehicle replacement policy</w:t>
            </w:r>
          </w:p>
        </w:tc>
        <w:tc>
          <w:tcPr>
            <w:tcMar>
              <w:top w:type="dxa" w:w="80"/>
              <w:left w:type="dxa" w:w="120"/>
              <w:bottom w:type="dxa" w:w="80"/>
              <w:right w:type="dxa" w:w="120"/>
            </w:tcMar>
          </w:tcPr>
          <w:p>
            <w:r>
              <w:rPr>
                <w:b w:val="false"/>
                <w:bCs w:val="false"/>
                <w:sz w:val="20"/>
                <w:szCs w:val="20"/>
              </w:rPr>
              <w:t xml:space="preserve">Assigned cycles by class, the replacement criteria, and the reserve protection language in section 6</w:t>
            </w:r>
          </w:p>
        </w:tc>
        <w:tc>
          <w:tcPr>
            <w:tcMar>
              <w:top w:type="dxa" w:w="80"/>
              <w:left w:type="dxa" w:w="120"/>
              <w:bottom w:type="dxa" w:w="80"/>
              <w:right w:type="dxa" w:w="120"/>
            </w:tcMar>
          </w:tcPr>
          <w:p>
            <w:r>
              <w:rPr>
                <w:b w:val="false"/>
                <w:bCs w:val="false"/>
                <w:sz w:val="20"/>
                <w:szCs w:val="20"/>
              </w:rPr>
              <w:t xml:space="preserve">Fleet — </w:t>
            </w:r>
            <w:r>
              <w:rPr>
                <w:b/>
                <w:bCs/>
                <w:color w:val="B4531A"/>
                <w:sz w:val="20"/>
                <w:szCs w:val="20"/>
              </w:rPr>
              <w:t xml:space="preserve">[NAME]</w:t>
            </w:r>
          </w:p>
        </w:tc>
        <w:tc>
          <w:tcPr>
            <w:tcMar>
              <w:top w:type="dxa" w:w="80"/>
              <w:left w:type="dxa" w:w="120"/>
              <w:bottom w:type="dxa" w:w="80"/>
              <w:right w:type="dxa" w:w="120"/>
            </w:tcMar>
          </w:tcPr>
          <w:p>
            <w:r>
              <w:rPr>
                <w:b/>
                <w:bCs/>
                <w:color w:val="B4531A"/>
                <w:sz w:val="20"/>
                <w:szCs w:val="20"/>
              </w:rPr>
              <w:t xml:space="preserve">[COUNCIL / BOARD]</w:t>
            </w:r>
            <w:r>
              <w:rPr>
                <w:b w:val="false"/>
                <w:bCs w:val="false"/>
                <w:sz w:val="20"/>
                <w:szCs w:val="20"/>
              </w:rPr>
              <w:t xml:space="preserve">, </w:t>
            </w:r>
            <w:r>
              <w:rPr>
                <w:b/>
                <w:bCs/>
                <w:color w:val="B4531A"/>
                <w:sz w:val="20"/>
                <w:szCs w:val="20"/>
              </w:rPr>
              <w:t xml:space="preserve">[DATE]</w:t>
            </w:r>
          </w:p>
        </w:tc>
      </w:tr>
    </w:tbl>
    <w:p>
      <w:pPr>
        <w:spacing w:after="120"/>
      </w:pPr>
      <w:r>
        <w:t xml:space="preserve"/>
      </w:r>
    </w:p>
    <w:tbl>
      <w:tblPr>
        <w:tblW w:type="pct" w:w="100%"/>
        <w:tblBorders>
          <w:top w:val="single" w:color="B4531A" w:sz="6"/>
          <w:left w:val="single" w:color="B4531A" w:sz="6"/>
          <w:bottom w:val="single" w:color="B4531A" w:sz="6"/>
          <w:right w:val="single" w:color="B4531A" w:sz="6"/>
          <w:insideH w:val="none" w:color="FFFFFF" w:sz="0"/>
          <w:insideV w:val="none" w:color="FFFFFF" w:sz="0"/>
        </w:tblBorders>
      </w:tblPr>
      <w:tblGrid>
        <w:gridCol w:w="100"/>
      </w:tblGrid>
      <w:tr>
        <w:tc>
          <w:tcPr>
            <w:shd w:fill="FDF6EC" w:color="FDF6EC" w:val="solid"/>
            <w:tcMar>
              <w:top w:type="dxa" w:w="120"/>
              <w:left w:type="dxa" w:w="160"/>
              <w:bottom w:type="dxa" w:w="120"/>
              <w:right w:type="dxa" w:w="160"/>
            </w:tcMar>
          </w:tcPr>
          <w:p>
            <w:pPr>
              <w:spacing w:after="80"/>
            </w:pPr>
            <w:r>
              <w:rPr>
                <w:b/>
                <w:bCs/>
                <w:sz w:val="18"/>
                <w:szCs w:val="18"/>
              </w:rPr>
              <w:t xml:space="preserve">Delete this box before circulating.</w:t>
            </w:r>
          </w:p>
          <w:p>
            <w:pPr>
              <w:spacing w:after="50"/>
            </w:pPr>
            <w:r>
              <w:rPr>
                <w:sz w:val="18"/>
                <w:szCs w:val="18"/>
              </w:rPr>
              <w:t xml:space="preserve">Adopt all three together. Adopting rates without adopting the method means renegotiating from scratch every year, and the renegotiation always happens in the year the rates go up.</w:t>
            </w:r>
          </w:p>
          <w:p>
            <w:pPr>
              <w:spacing w:after="50"/>
            </w:pPr>
            <w:r>
              <w:rPr>
                <w:sz w:val="18"/>
                <w:szCs w:val="18"/>
              </w:rPr>
              <w:t xml:space="preserve">Some states legislate this directly. Washington requires every county to establish an equipment rental and revolving fund by resolution (RCW 36.33A.010), sets what the rental rates must cover, and makes the rate structure subject to annual review by the legislative body (RCW 36.33A.040); cities over eight thousand have their own requirement (RCW 35.21.088). Those are examples of the shape this takes, not authority anywhere else — your own statute and your attorney govern.</w:t>
            </w:r>
          </w:p>
        </w:tc>
      </w:tr>
    </w:tbl>
    <w:p>
      <w:pPr>
        <w:pStyle w:val="Heading1"/>
        <w:spacing w:after="120" w:before="260"/>
      </w:pPr>
      <w:r>
        <w:t xml:space="preserve">4. Legacy asset decision</w:t>
      </w:r>
    </w:p>
    <w:p>
      <w:pPr>
        <w:spacing w:after="140"/>
      </w:pPr>
      <w:r>
        <w:t xml:space="preserve">A ten-year-old truck has had no reserve accumulating against it. The opening position workbook prices the whole gap and each of the three ways to close it; the figures below come from its Funding gap sheet.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shd w:fill="EDF2F5" w:color="EDF2F5" w:val="solid"/>
            <w:tcMar>
              <w:top w:type="dxa" w:w="80"/>
              <w:left w:type="dxa" w:w="120"/>
              <w:bottom w:type="dxa" w:w="80"/>
              <w:right w:type="dxa" w:w="120"/>
            </w:tcMar>
          </w:tcPr>
          <w:p>
            <w:r>
              <w:rPr>
                <w:b/>
                <w:bCs/>
                <w:sz w:val="20"/>
                <w:szCs w:val="20"/>
              </w:rPr>
              <w:t xml:space="preserve">Option</w:t>
            </w:r>
          </w:p>
        </w:tc>
        <w:tc>
          <w:tcPr>
            <w:shd w:fill="EDF2F5" w:color="EDF2F5" w:val="solid"/>
            <w:tcMar>
              <w:top w:type="dxa" w:w="80"/>
              <w:left w:type="dxa" w:w="120"/>
              <w:bottom w:type="dxa" w:w="80"/>
              <w:right w:type="dxa" w:w="120"/>
            </w:tcMar>
          </w:tcPr>
          <w:p>
            <w:r>
              <w:rPr>
                <w:b/>
                <w:bCs/>
                <w:sz w:val="20"/>
                <w:szCs w:val="20"/>
              </w:rPr>
              <w:t xml:space="preserve">How it works</w:t>
            </w:r>
          </w:p>
        </w:tc>
        <w:tc>
          <w:tcPr>
            <w:shd w:fill="EDF2F5" w:color="EDF2F5" w:val="solid"/>
            <w:tcMar>
              <w:top w:type="dxa" w:w="80"/>
              <w:left w:type="dxa" w:w="120"/>
              <w:bottom w:type="dxa" w:w="80"/>
              <w:right w:type="dxa" w:w="120"/>
            </w:tcMar>
          </w:tcPr>
          <w:p>
            <w:r>
              <w:rPr>
                <w:b/>
                <w:bCs/>
                <w:sz w:val="20"/>
                <w:szCs w:val="20"/>
              </w:rPr>
              <w:t xml:space="preserve">Who pays</w:t>
            </w:r>
          </w:p>
        </w:tc>
        <w:tc>
          <w:tcPr>
            <w:shd w:fill="EDF2F5" w:color="EDF2F5" w:val="solid"/>
            <w:tcMar>
              <w:top w:type="dxa" w:w="80"/>
              <w:left w:type="dxa" w:w="120"/>
              <w:bottom w:type="dxa" w:w="80"/>
              <w:right w:type="dxa" w:w="120"/>
            </w:tcMar>
          </w:tcPr>
          <w:p>
            <w:r>
              <w:rPr>
                <w:b/>
                <w:bCs/>
                <w:sz w:val="20"/>
                <w:szCs w:val="20"/>
              </w:rPr>
              <w:t xml:space="preserve">Cash impact</w:t>
            </w:r>
          </w:p>
        </w:tc>
        <w:tc>
          <w:tcPr>
            <w:shd w:fill="EDF2F5" w:color="EDF2F5" w:val="solid"/>
            <w:tcMar>
              <w:top w:type="dxa" w:w="80"/>
              <w:left w:type="dxa" w:w="120"/>
              <w:bottom w:type="dxa" w:w="80"/>
              <w:right w:type="dxa" w:w="120"/>
            </w:tcMar>
          </w:tcPr>
          <w:p>
            <w:r>
              <w:rPr>
                <w:b/>
                <w:bCs/>
                <w:sz w:val="20"/>
                <w:szCs w:val="20"/>
              </w:rPr>
              <w:t xml:space="preserve">When it lands</w:t>
            </w:r>
          </w:p>
        </w:tc>
      </w:tr>
      <w:tr>
        <w:trPr>
          <w:tblHeader w:val="false"/>
        </w:trPr>
        <w:tc>
          <w:tcPr>
            <w:tcMar>
              <w:top w:type="dxa" w:w="80"/>
              <w:left w:type="dxa" w:w="120"/>
              <w:bottom w:type="dxa" w:w="80"/>
              <w:right w:type="dxa" w:w="120"/>
            </w:tcMar>
          </w:tcPr>
          <w:p>
            <w:r>
              <w:rPr>
                <w:b w:val="false"/>
                <w:bCs w:val="false"/>
                <w:sz w:val="20"/>
                <w:szCs w:val="20"/>
              </w:rPr>
              <w:t xml:space="preserve">Start fresh</w:t>
            </w:r>
          </w:p>
        </w:tc>
        <w:tc>
          <w:tcPr>
            <w:tcMar>
              <w:top w:type="dxa" w:w="80"/>
              <w:left w:type="dxa" w:w="120"/>
              <w:bottom w:type="dxa" w:w="80"/>
              <w:right w:type="dxa" w:w="120"/>
            </w:tcMar>
          </w:tcPr>
          <w:p>
            <w:r>
              <w:rPr>
                <w:b w:val="false"/>
                <w:bCs w:val="false"/>
                <w:sz w:val="20"/>
                <w:szCs w:val="20"/>
              </w:rPr>
              <w:t xml:space="preserve">The reserve begins at zero and each replacement is funded partly by one-time capital in the year the unit falls due</w:t>
            </w:r>
          </w:p>
        </w:tc>
        <w:tc>
          <w:tcPr>
            <w:tcMar>
              <w:top w:type="dxa" w:w="80"/>
              <w:left w:type="dxa" w:w="120"/>
              <w:bottom w:type="dxa" w:w="80"/>
              <w:right w:type="dxa" w:w="120"/>
            </w:tcMar>
          </w:tcPr>
          <w:p>
            <w:r>
              <w:rPr>
                <w:b w:val="false"/>
                <w:bCs w:val="false"/>
                <w:sz w:val="20"/>
                <w:szCs w:val="20"/>
              </w:rPr>
              <w:t xml:space="preserve">General fund, as capital appropriation</w:t>
            </w:r>
          </w:p>
        </w:tc>
        <w:tc>
          <w:tcPr>
            <w:tcMar>
              <w:top w:type="dxa" w:w="80"/>
              <w:left w:type="dxa" w:w="120"/>
              <w:bottom w:type="dxa" w:w="80"/>
              <w:right w:type="dxa" w:w="120"/>
            </w:tcMar>
          </w:tcPr>
          <w:p>
            <w:r>
              <w:rPr>
                <w:b w:val="false"/>
                <w:bCs w:val="false"/>
                <w:sz w:val="20"/>
                <w:szCs w:val="20"/>
              </w:rPr>
              <w:t xml:space="preserve">Peak year </w:t>
            </w:r>
            <w:r>
              <w:rPr>
                <w:b/>
                <w:bCs/>
                <w:color w:val="B4531A"/>
                <w:sz w:val="20"/>
                <w:szCs w:val="20"/>
              </w:rPr>
              <w:t xml:space="preserve">[$]</w:t>
            </w:r>
            <w:r>
              <w:rPr>
                <w:b w:val="false"/>
                <w:bCs w:val="false"/>
                <w:sz w:val="20"/>
                <w:szCs w:val="20"/>
              </w:rPr>
              <w:t xml:space="preserve">, total over the horizon </w:t>
            </w:r>
            <w:r>
              <w:rPr>
                <w:b/>
                <w:bCs/>
                <w:color w:val="B4531A"/>
                <w:sz w:val="20"/>
                <w:szCs w:val="20"/>
              </w:rPr>
              <w:t xml:space="preserve">[$]</w:t>
            </w:r>
          </w:p>
        </w:tc>
        <w:tc>
          <w:tcPr>
            <w:tcMar>
              <w:top w:type="dxa" w:w="80"/>
              <w:left w:type="dxa" w:w="120"/>
              <w:bottom w:type="dxa" w:w="80"/>
              <w:right w:type="dxa" w:w="120"/>
            </w:tcMar>
          </w:tcPr>
          <w:p>
            <w:r>
              <w:rPr>
                <w:b w:val="false"/>
                <w:bCs w:val="false"/>
                <w:sz w:val="20"/>
                <w:szCs w:val="20"/>
              </w:rPr>
              <w:t xml:space="preserve">Lumpy — concentrated in the years units come due</w:t>
            </w:r>
          </w:p>
        </w:tc>
      </w:tr>
      <w:tr>
        <w:trPr>
          <w:tblHeader w:val="false"/>
        </w:trPr>
        <w:tc>
          <w:tcPr>
            <w:tcMar>
              <w:top w:type="dxa" w:w="80"/>
              <w:left w:type="dxa" w:w="120"/>
              <w:bottom w:type="dxa" w:w="80"/>
              <w:right w:type="dxa" w:w="120"/>
            </w:tcMar>
          </w:tcPr>
          <w:p>
            <w:r>
              <w:rPr>
                <w:b w:val="false"/>
                <w:bCs w:val="false"/>
                <w:sz w:val="20"/>
                <w:szCs w:val="20"/>
              </w:rPr>
              <w:t xml:space="preserve">Catch-up surcharge</w:t>
            </w:r>
          </w:p>
        </w:tc>
        <w:tc>
          <w:tcPr>
            <w:tcMar>
              <w:top w:type="dxa" w:w="80"/>
              <w:left w:type="dxa" w:w="120"/>
              <w:bottom w:type="dxa" w:w="80"/>
              <w:right w:type="dxa" w:w="120"/>
            </w:tcMar>
          </w:tcPr>
          <w:p>
            <w:r>
              <w:rPr>
                <w:b w:val="false"/>
                <w:bCs w:val="false"/>
                <w:sz w:val="20"/>
                <w:szCs w:val="20"/>
              </w:rPr>
              <w:t xml:space="preserve">Departments are charged a surcharge above the rate until the gap is closed over an adopted catch-up period</w:t>
            </w:r>
          </w:p>
        </w:tc>
        <w:tc>
          <w:tcPr>
            <w:tcMar>
              <w:top w:type="dxa" w:w="80"/>
              <w:left w:type="dxa" w:w="120"/>
              <w:bottom w:type="dxa" w:w="80"/>
              <w:right w:type="dxa" w:w="120"/>
            </w:tcMar>
          </w:tcPr>
          <w:p>
            <w:r>
              <w:rPr>
                <w:b w:val="false"/>
                <w:bCs w:val="false"/>
                <w:sz w:val="20"/>
                <w:szCs w:val="20"/>
              </w:rPr>
              <w:t xml:space="preserve">The departments that held the assets</w:t>
            </w:r>
          </w:p>
        </w:tc>
        <w:tc>
          <w:tcPr>
            <w:tcMar>
              <w:top w:type="dxa" w:w="80"/>
              <w:left w:type="dxa" w:w="120"/>
              <w:bottom w:type="dxa" w:w="80"/>
              <w:right w:type="dxa" w:w="120"/>
            </w:tcMar>
          </w:tcPr>
          <w:p>
            <w:r>
              <w:rPr>
                <w:b/>
                <w:bCs/>
                <w:color w:val="B4531A"/>
                <w:sz w:val="20"/>
                <w:szCs w:val="20"/>
              </w:rPr>
              <w:t xml:space="preserve">[$]</w:t>
            </w:r>
            <w:r>
              <w:rPr>
                <w:b w:val="false"/>
                <w:bCs w:val="false"/>
                <w:sz w:val="20"/>
                <w:szCs w:val="20"/>
              </w:rPr>
              <w:t xml:space="preserve"> per unit per month fleet-wide; per class it ranges </w:t>
            </w:r>
            <w:r>
              <w:rPr>
                <w:b/>
                <w:bCs/>
                <w:color w:val="B4531A"/>
                <w:sz w:val="20"/>
                <w:szCs w:val="20"/>
              </w:rPr>
              <w:t xml:space="preserve">[$]</w:t>
            </w:r>
            <w:r>
              <w:rPr>
                <w:b w:val="false"/>
                <w:bCs w:val="false"/>
                <w:sz w:val="20"/>
                <w:szCs w:val="20"/>
              </w:rPr>
              <w:t xml:space="preserve"> to </w:t>
            </w:r>
            <w:r>
              <w:rPr>
                <w:b/>
                <w:bCs/>
                <w:color w:val="B4531A"/>
                <w:sz w:val="20"/>
                <w:szCs w:val="20"/>
              </w:rPr>
              <w:t xml:space="preserve">[$]</w:t>
            </w:r>
          </w:p>
        </w:tc>
        <w:tc>
          <w:tcPr>
            <w:tcMar>
              <w:top w:type="dxa" w:w="80"/>
              <w:left w:type="dxa" w:w="120"/>
              <w:bottom w:type="dxa" w:w="80"/>
              <w:right w:type="dxa" w:w="120"/>
            </w:tcMar>
          </w:tcPr>
          <w:p>
            <w:r>
              <w:rPr>
                <w:b w:val="false"/>
                <w:bCs w:val="false"/>
                <w:sz w:val="20"/>
                <w:szCs w:val="20"/>
              </w:rPr>
              <w:t xml:space="preserve">Spread evenly over </w:t>
            </w:r>
            <w:r>
              <w:rPr>
                <w:b/>
                <w:bCs/>
                <w:color w:val="B4531A"/>
                <w:sz w:val="20"/>
                <w:szCs w:val="20"/>
              </w:rPr>
              <w:t xml:space="preserve">[N]</w:t>
            </w:r>
            <w:r>
              <w:rPr>
                <w:b w:val="false"/>
                <w:bCs w:val="false"/>
                <w:sz w:val="20"/>
                <w:szCs w:val="20"/>
              </w:rPr>
              <w:t xml:space="preserve"> years, starting immediately</w:t>
            </w:r>
          </w:p>
        </w:tc>
      </w:tr>
      <w:tr>
        <w:trPr>
          <w:tblHeader w:val="false"/>
        </w:trPr>
        <w:tc>
          <w:tcPr>
            <w:tcMar>
              <w:top w:type="dxa" w:w="80"/>
              <w:left w:type="dxa" w:w="120"/>
              <w:bottom w:type="dxa" w:w="80"/>
              <w:right w:type="dxa" w:w="120"/>
            </w:tcMar>
          </w:tcPr>
          <w:p>
            <w:r>
              <w:rPr>
                <w:b w:val="false"/>
                <w:bCs w:val="false"/>
                <w:sz w:val="20"/>
                <w:szCs w:val="20"/>
              </w:rPr>
              <w:t xml:space="preserve">Seed the fund</w:t>
            </w:r>
          </w:p>
        </w:tc>
        <w:tc>
          <w:tcPr>
            <w:tcMar>
              <w:top w:type="dxa" w:w="80"/>
              <w:left w:type="dxa" w:w="120"/>
              <w:bottom w:type="dxa" w:w="80"/>
              <w:right w:type="dxa" w:w="120"/>
            </w:tcMar>
          </w:tcPr>
          <w:p>
            <w:r>
              <w:rPr>
                <w:b w:val="false"/>
                <w:bCs w:val="false"/>
                <w:sz w:val="20"/>
                <w:szCs w:val="20"/>
              </w:rPr>
              <w:t xml:space="preserve">Existing capital reserves transfer in as opening fund balance</w:t>
            </w:r>
          </w:p>
        </w:tc>
        <w:tc>
          <w:tcPr>
            <w:tcMar>
              <w:top w:type="dxa" w:w="80"/>
              <w:left w:type="dxa" w:w="120"/>
              <w:bottom w:type="dxa" w:w="80"/>
              <w:right w:type="dxa" w:w="120"/>
            </w:tcMar>
          </w:tcPr>
          <w:p>
            <w:r>
              <w:rPr>
                <w:b w:val="false"/>
                <w:bCs w:val="false"/>
                <w:sz w:val="20"/>
                <w:szCs w:val="20"/>
              </w:rPr>
              <w:t xml:space="preserve">Money already set aside</w:t>
            </w:r>
          </w:p>
        </w:tc>
        <w:tc>
          <w:tcPr>
            <w:tcMar>
              <w:top w:type="dxa" w:w="80"/>
              <w:left w:type="dxa" w:w="120"/>
              <w:bottom w:type="dxa" w:w="80"/>
              <w:right w:type="dxa" w:w="120"/>
            </w:tcMar>
          </w:tcPr>
          <w:p>
            <w:r>
              <w:rPr>
                <w:b w:val="false"/>
                <w:bCs w:val="false"/>
                <w:sz w:val="20"/>
                <w:szCs w:val="20"/>
              </w:rPr>
              <w:t xml:space="preserve">Seed </w:t>
            </w:r>
            <w:r>
              <w:rPr>
                <w:b/>
                <w:bCs/>
                <w:color w:val="B4531A"/>
                <w:sz w:val="20"/>
                <w:szCs w:val="20"/>
              </w:rPr>
              <w:t xml:space="preserve">[$]</w:t>
            </w:r>
            <w:r>
              <w:rPr>
                <w:b w:val="false"/>
                <w:bCs w:val="false"/>
                <w:sz w:val="20"/>
                <w:szCs w:val="20"/>
              </w:rPr>
              <w:t xml:space="preserve">, residual gap </w:t>
            </w:r>
            <w:r>
              <w:rPr>
                <w:b/>
                <w:bCs/>
                <w:color w:val="B4531A"/>
                <w:sz w:val="20"/>
                <w:szCs w:val="20"/>
              </w:rPr>
              <w:t xml:space="preserve">[$]</w:t>
            </w:r>
            <w:r>
              <w:rPr>
                <w:b w:val="false"/>
                <w:bCs w:val="false"/>
                <w:sz w:val="20"/>
                <w:szCs w:val="20"/>
              </w:rPr>
              <w:t xml:space="preserve">, residual surcharge </w:t>
            </w:r>
            <w:r>
              <w:rPr>
                <w:b/>
                <w:bCs/>
                <w:color w:val="B4531A"/>
                <w:sz w:val="20"/>
                <w:szCs w:val="20"/>
              </w:rPr>
              <w:t xml:space="preserve">[$]</w:t>
            </w:r>
            <w:r>
              <w:rPr>
                <w:b w:val="false"/>
                <w:bCs w:val="false"/>
                <w:sz w:val="20"/>
                <w:szCs w:val="20"/>
              </w:rPr>
              <w:t xml:space="preserve"> per unit per month</w:t>
            </w:r>
          </w:p>
        </w:tc>
        <w:tc>
          <w:tcPr>
            <w:tcMar>
              <w:top w:type="dxa" w:w="80"/>
              <w:left w:type="dxa" w:w="120"/>
              <w:bottom w:type="dxa" w:w="80"/>
              <w:right w:type="dxa" w:w="120"/>
            </w:tcMar>
          </w:tcPr>
          <w:p>
            <w:r>
              <w:rPr>
                <w:b w:val="false"/>
                <w:bCs w:val="false"/>
                <w:sz w:val="20"/>
                <w:szCs w:val="20"/>
              </w:rPr>
              <w:t xml:space="preserve">At conversion, to the extent the money exists</w:t>
            </w:r>
          </w:p>
        </w:tc>
      </w:tr>
    </w:tbl>
    <w:p>
      <w:pPr>
        <w:spacing w:after="120"/>
      </w:pPr>
      <w:r>
        <w:t xml:space="preserve"/>
      </w:r>
    </w:p>
    <w:p>
      <w:pPr>
        <w:spacing w:after="140"/>
      </w:pPr>
      <w:r>
        <w:t xml:space="preserve">Recommended option:</w:t>
      </w:r>
      <w:r>
        <w:rPr>
          <w:b/>
          <w:bCs/>
          <w:color w:val="B4531A"/>
        </w:rPr>
        <w:t xml:space="preserve"> ______________________________</w:t>
      </w:r>
    </w:p>
    <w:p>
      <w:pPr>
        <w:spacing w:after="140"/>
      </w:pPr>
      <w:r>
        <w:t xml:space="preserve">Rationale:</w:t>
      </w:r>
      <w:r>
        <w:rPr>
          <w:b/>
          <w:bCs/>
          <w:color w:val="B4531A"/>
        </w:rPr>
        <w:t xml:space="preserve"> ______________________________</w:t>
      </w:r>
    </w:p>
    <w:p>
      <w:pPr>
        <w:spacing w:after="120"/>
      </w:pPr>
      <w:r>
        <w:t xml:space="preserve"/>
      </w:r>
    </w:p>
    <w:tbl>
      <w:tblPr>
        <w:tblW w:type="pct" w:w="100%"/>
        <w:tblBorders>
          <w:top w:val="single" w:color="B4531A" w:sz="6"/>
          <w:left w:val="single" w:color="B4531A" w:sz="6"/>
          <w:bottom w:val="single" w:color="B4531A" w:sz="6"/>
          <w:right w:val="single" w:color="B4531A" w:sz="6"/>
          <w:insideH w:val="none" w:color="FFFFFF" w:sz="0"/>
          <w:insideV w:val="none" w:color="FFFFFF" w:sz="0"/>
        </w:tblBorders>
      </w:tblPr>
      <w:tblGrid>
        <w:gridCol w:w="100"/>
      </w:tblGrid>
      <w:tr>
        <w:tc>
          <w:tcPr>
            <w:shd w:fill="FDF6EC" w:color="FDF6EC" w:val="solid"/>
            <w:tcMar>
              <w:top w:type="dxa" w:w="120"/>
              <w:left w:type="dxa" w:w="160"/>
              <w:bottom w:type="dxa" w:w="120"/>
              <w:right w:type="dxa" w:w="160"/>
            </w:tcMar>
          </w:tcPr>
          <w:p>
            <w:pPr>
              <w:spacing w:after="80"/>
            </w:pPr>
            <w:r>
              <w:rPr>
                <w:b/>
                <w:bCs/>
                <w:sz w:val="18"/>
                <w:szCs w:val="18"/>
              </w:rPr>
              <w:t xml:space="preserve">Delete this box before circulating.</w:t>
            </w:r>
          </w:p>
          <w:p>
            <w:pPr>
              <w:spacing w:after="50"/>
            </w:pPr>
            <w:r>
              <w:rPr>
                <w:sz w:val="18"/>
                <w:szCs w:val="18"/>
              </w:rPr>
              <w:t xml:space="preserve">Most agencies combine them: seed what exists, start fresh on the rest, and accept a few transitional years. Say which combination you are recommending.</w:t>
            </w:r>
          </w:p>
          <w:p>
            <w:pPr>
              <w:spacing w:after="50"/>
            </w:pPr>
            <w:r>
              <w:rPr>
                <w:sz w:val="18"/>
                <w:szCs w:val="18"/>
              </w:rPr>
              <w:t xml:space="preserve">The three do not differ in total cost. They differ in who pays and when. The fleet-wide surcharge figure is the one people quote and the one that kills the option — bring the per-class column instead, because the burden is not flat and the heavy classes carry it.</w:t>
            </w:r>
          </w:p>
        </w:tc>
      </w:tr>
    </w:tbl>
    <w:p>
      <w:pPr>
        <w:pStyle w:val="Heading1"/>
        <w:spacing w:after="120" w:before="260"/>
      </w:pPr>
      <w:r>
        <w:t xml:space="preserve">5. Reserve protection language</w:t>
      </w:r>
    </w:p>
    <w:p>
      <w:pPr>
        <w:spacing w:after="140"/>
      </w:pPr>
      <w:r>
        <w:t xml:space="preserve">Draft policy text for adoption with the fund. Edit to your own charter and terminology.</w:t>
      </w:r>
    </w:p>
    <w:p>
      <w:pPr>
        <w:spacing w:after="120"/>
        <w:ind w:left="400"/>
      </w:pPr>
      <w:r>
        <w:rPr>
          <w:i/>
          <w:iCs/>
        </w:rPr>
        <w:t xml:space="preserve">Balances accumulated in the </w:t>
      </w:r>
      <w:r>
        <w:rPr>
          <w:b/>
          <w:bCs/>
          <w:color w:val="B4531A"/>
        </w:rPr>
        <w:t xml:space="preserve">[FUND NAME/NUMBER]</w:t>
      </w:r>
      <w:r>
        <w:rPr>
          <w:i/>
          <w:iCs/>
        </w:rPr>
        <w:t xml:space="preserve"> replacement reserve are held for the replacement of fleet assets and for no other purpose.</w:t>
      </w:r>
    </w:p>
    <w:p>
      <w:pPr>
        <w:spacing w:after="120"/>
        <w:ind w:left="400"/>
      </w:pPr>
      <w:r>
        <w:rPr>
          <w:i/>
          <w:iCs/>
        </w:rPr>
        <w:t xml:space="preserve">A transfer of any amount out of the replacement reserve requires </w:t>
      </w:r>
      <w:r>
        <w:rPr>
          <w:b/>
          <w:bCs/>
          <w:color w:val="B4531A"/>
        </w:rPr>
        <w:t xml:space="preserve">[SUPERMAJORITY / SPECIFIC FINDING]</w:t>
      </w:r>
      <w:r>
        <w:rPr>
          <w:i/>
          <w:iCs/>
        </w:rPr>
        <w:t xml:space="preserve"> of the </w:t>
      </w:r>
      <w:r>
        <w:rPr>
          <w:b/>
          <w:bCs/>
          <w:color w:val="B4531A"/>
        </w:rPr>
        <w:t xml:space="preserve">[COUNCIL / BOARD]</w:t>
      </w:r>
      <w:r>
        <w:rPr>
          <w:i/>
          <w:iCs/>
        </w:rPr>
        <w:t xml:space="preserve">.</w:t>
      </w:r>
    </w:p>
    <w:p>
      <w:pPr>
        <w:spacing w:after="120"/>
        <w:ind w:left="400"/>
      </w:pPr>
      <w:r>
        <w:rPr>
          <w:i/>
          <w:iCs/>
        </w:rPr>
        <w:t xml:space="preserve">The balance of the replacement reserve, and the replacement schedule it supports, shall be reported to the </w:t>
      </w:r>
      <w:r>
        <w:rPr>
          <w:b/>
          <w:bCs/>
          <w:color w:val="B4531A"/>
        </w:rPr>
        <w:t xml:space="preserve">[COUNCIL / BOARD]</w:t>
      </w:r>
      <w:r>
        <w:rPr>
          <w:i/>
          <w:iCs/>
        </w:rPr>
        <w:t xml:space="preserve"> </w:t>
      </w:r>
      <w:r>
        <w:rPr>
          <w:b/>
          <w:bCs/>
          <w:color w:val="B4531A"/>
        </w:rPr>
        <w:t xml:space="preserve">[ANNUALLY]</w:t>
      </w:r>
      <w:r>
        <w:rPr>
          <w:i/>
          <w:iCs/>
        </w:rPr>
        <w:t xml:space="preserve"> as part of the rate review.</w:t>
      </w:r>
    </w:p>
    <w:p>
      <w:pPr>
        <w:spacing w:after="120"/>
        <w:ind w:left="400"/>
      </w:pPr>
      <w:r>
        <w:rPr>
          <w:i/>
          <w:iCs/>
        </w:rPr>
        <w:t xml:space="preserve">Any transfer out of the replacement reserve shall be accompanied by a revised replacement schedule identifying the specific units whose replacement is deferred and the year to which each moves.</w:t>
      </w:r>
    </w:p>
    <w:p>
      <w:pPr>
        <w:spacing w:after="120"/>
      </w:pPr>
      <w:r>
        <w:t xml:space="preserve"/>
      </w:r>
    </w:p>
    <w:tbl>
      <w:tblPr>
        <w:tblW w:type="pct" w:w="100%"/>
        <w:tblBorders>
          <w:top w:val="single" w:color="B4531A" w:sz="6"/>
          <w:left w:val="single" w:color="B4531A" w:sz="6"/>
          <w:bottom w:val="single" w:color="B4531A" w:sz="6"/>
          <w:right w:val="single" w:color="B4531A" w:sz="6"/>
          <w:insideH w:val="none" w:color="FFFFFF" w:sz="0"/>
          <w:insideV w:val="none" w:color="FFFFFF" w:sz="0"/>
        </w:tblBorders>
      </w:tblPr>
      <w:tblGrid>
        <w:gridCol w:w="100"/>
      </w:tblGrid>
      <w:tr>
        <w:tc>
          <w:tcPr>
            <w:shd w:fill="FDF6EC" w:color="FDF6EC" w:val="solid"/>
            <w:tcMar>
              <w:top w:type="dxa" w:w="120"/>
              <w:left w:type="dxa" w:w="160"/>
              <w:bottom w:type="dxa" w:w="120"/>
              <w:right w:type="dxa" w:w="160"/>
            </w:tcMar>
          </w:tcPr>
          <w:p>
            <w:pPr>
              <w:spacing w:after="80"/>
            </w:pPr>
            <w:r>
              <w:rPr>
                <w:b/>
                <w:bCs/>
                <w:sz w:val="18"/>
                <w:szCs w:val="18"/>
              </w:rPr>
              <w:t xml:space="preserve">Delete this box before circulating.</w:t>
            </w:r>
          </w:p>
          <w:p>
            <w:pPr>
              <w:spacing w:after="50"/>
            </w:pPr>
            <w:r>
              <w:rPr>
                <w:sz w:val="18"/>
                <w:szCs w:val="18"/>
              </w:rPr>
              <w:t xml:space="preserve">Adopt this at conversion, when you have leverage. A fund balance looks like idle money to someone facing a shortfall elsewhere, and you will not get this language later.</w:t>
            </w:r>
          </w:p>
          <w:p>
            <w:pPr>
              <w:spacing w:after="50"/>
            </w:pPr>
            <w:r>
              <w:rPr>
                <w:sz w:val="18"/>
                <w:szCs w:val="18"/>
              </w:rPr>
              <w:t xml:space="preserve">The last clause is the one that does the work. A transfer that has to name the trucks it defers is a much harder transfer to make than one that moves a number.</w:t>
            </w:r>
          </w:p>
        </w:tc>
      </w:tr>
    </w:tbl>
    <w:p>
      <w:pPr>
        <w:pStyle w:val="Heading1"/>
        <w:spacing w:after="120" w:before="260"/>
      </w:pPr>
      <w:r>
        <w:t xml:space="preserve">6. Parallel-year plan</w:t>
      </w:r>
    </w:p>
    <w:p>
      <w:pPr>
        <w:spacing w:after="140"/>
      </w:pPr>
      <w:r>
        <w:t xml:space="preserve">Bill on paper without moving money for twelve months. Departments see what they would have been charged; you see whether the rates recover. Nearly every agency finds something in this year — a class that under-recovers, a department whose usage assumptions were wrong, an overhead allocation that nobody accepts. Recovery is measured on the Parallel-year billing sheet of isf-opening-position.xlsx.</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EDF2F5" w:color="EDF2F5" w:val="solid"/>
            <w:tcMar>
              <w:top w:type="dxa" w:w="80"/>
              <w:left w:type="dxa" w:w="120"/>
              <w:bottom w:type="dxa" w:w="80"/>
              <w:right w:type="dxa" w:w="120"/>
            </w:tcMar>
          </w:tcPr>
          <w:p>
            <w:r>
              <w:rPr>
                <w:b/>
                <w:bCs/>
                <w:sz w:val="20"/>
                <w:szCs w:val="20"/>
              </w:rPr>
              <w:t xml:space="preserve">Month</w:t>
            </w:r>
          </w:p>
        </w:tc>
        <w:tc>
          <w:tcPr>
            <w:shd w:fill="EDF2F5" w:color="EDF2F5" w:val="solid"/>
            <w:tcMar>
              <w:top w:type="dxa" w:w="80"/>
              <w:left w:type="dxa" w:w="120"/>
              <w:bottom w:type="dxa" w:w="80"/>
              <w:right w:type="dxa" w:w="120"/>
            </w:tcMar>
          </w:tcPr>
          <w:p>
            <w:r>
              <w:rPr>
                <w:b/>
                <w:bCs/>
                <w:sz w:val="20"/>
                <w:szCs w:val="20"/>
              </w:rPr>
              <w:t xml:space="preserve">Action</w:t>
            </w:r>
          </w:p>
        </w:tc>
        <w:tc>
          <w:tcPr>
            <w:shd w:fill="EDF2F5" w:color="EDF2F5" w:val="solid"/>
            <w:tcMar>
              <w:top w:type="dxa" w:w="80"/>
              <w:left w:type="dxa" w:w="120"/>
              <w:bottom w:type="dxa" w:w="80"/>
              <w:right w:type="dxa" w:w="120"/>
            </w:tcMar>
          </w:tcPr>
          <w:p>
            <w:r>
              <w:rPr>
                <w:b/>
                <w:bCs/>
                <w:sz w:val="20"/>
                <w:szCs w:val="20"/>
              </w:rPr>
              <w:t xml:space="preserve">Owner</w:t>
            </w:r>
          </w:p>
        </w:tc>
        <w:tc>
          <w:tcPr>
            <w:shd w:fill="EDF2F5" w:color="EDF2F5" w:val="solid"/>
            <w:tcMar>
              <w:top w:type="dxa" w:w="80"/>
              <w:left w:type="dxa" w:w="120"/>
              <w:bottom w:type="dxa" w:w="80"/>
              <w:right w:type="dxa" w:w="120"/>
            </w:tcMar>
          </w:tcPr>
          <w:p>
            <w:r>
              <w:rPr>
                <w:b/>
                <w:bCs/>
                <w:sz w:val="20"/>
                <w:szCs w:val="20"/>
              </w:rPr>
              <w:t xml:space="preserve">Output</w:t>
            </w:r>
          </w:p>
        </w:tc>
      </w:tr>
      <w:tr>
        <w:trPr>
          <w:tblHeader w:val="false"/>
        </w:trPr>
        <w:tc>
          <w:tcPr>
            <w:tcMar>
              <w:top w:type="dxa" w:w="80"/>
              <w:left w:type="dxa" w:w="120"/>
              <w:bottom w:type="dxa" w:w="80"/>
              <w:right w:type="dxa" w:w="120"/>
            </w:tcMar>
          </w:tcPr>
          <w:p>
            <w:r>
              <w:rPr>
                <w:b w:val="false"/>
                <w:bCs w:val="false"/>
                <w:sz w:val="20"/>
                <w:szCs w:val="20"/>
              </w:rPr>
              <w:t xml:space="preserve">1</w:t>
            </w:r>
          </w:p>
        </w:tc>
        <w:tc>
          <w:tcPr>
            <w:tcMar>
              <w:top w:type="dxa" w:w="80"/>
              <w:left w:type="dxa" w:w="120"/>
              <w:bottom w:type="dxa" w:w="80"/>
              <w:right w:type="dxa" w:w="120"/>
            </w:tcMar>
          </w:tcPr>
          <w:p>
            <w:r>
              <w:rPr>
                <w:b w:val="false"/>
                <w:bCs w:val="false"/>
                <w:sz w:val="20"/>
                <w:szCs w:val="20"/>
              </w:rPr>
              <w:t xml:space="preserve">Rates loaded into Block A of the Parallel-year billing sheet; opening register frozen and dated</w:t>
            </w:r>
          </w:p>
        </w:tc>
        <w:tc>
          <w:tcPr>
            <w:tcMar>
              <w:top w:type="dxa" w:w="80"/>
              <w:left w:type="dxa" w:w="120"/>
              <w:bottom w:type="dxa" w:w="80"/>
              <w:right w:type="dxa" w:w="120"/>
            </w:tcMar>
          </w:tcPr>
          <w:p>
            <w:r>
              <w:rPr>
                <w:b/>
                <w:bCs/>
                <w:color w:val="B4531A"/>
                <w:sz w:val="20"/>
                <w:szCs w:val="20"/>
              </w:rPr>
              <w:t xml:space="preserve">[NAME]</w:t>
            </w:r>
          </w:p>
        </w:tc>
        <w:tc>
          <w:tcPr>
            <w:tcMar>
              <w:top w:type="dxa" w:w="80"/>
              <w:left w:type="dxa" w:w="120"/>
              <w:bottom w:type="dxa" w:w="80"/>
              <w:right w:type="dxa" w:w="120"/>
            </w:tcMar>
          </w:tcPr>
          <w:p>
            <w:r>
              <w:rPr>
                <w:b w:val="false"/>
                <w:bCs w:val="false"/>
                <w:sz w:val="20"/>
                <w:szCs w:val="20"/>
              </w:rPr>
              <w:t xml:space="preserve">Dated opening register</w:t>
            </w:r>
          </w:p>
        </w:tc>
      </w:tr>
      <w:tr>
        <w:trPr>
          <w:tblHeader w:val="false"/>
        </w:trPr>
        <w:tc>
          <w:tcPr>
            <w:tcMar>
              <w:top w:type="dxa" w:w="80"/>
              <w:left w:type="dxa" w:w="120"/>
              <w:bottom w:type="dxa" w:w="80"/>
              <w:right w:type="dxa" w:w="120"/>
            </w:tcMar>
          </w:tcPr>
          <w:p>
            <w:r>
              <w:rPr>
                <w:b w:val="false"/>
                <w:bCs w:val="false"/>
                <w:sz w:val="20"/>
                <w:szCs w:val="20"/>
              </w:rPr>
              <w:t xml:space="preserve">2</w:t>
            </w:r>
          </w:p>
        </w:tc>
        <w:tc>
          <w:tcPr>
            <w:tcMar>
              <w:top w:type="dxa" w:w="80"/>
              <w:left w:type="dxa" w:w="120"/>
              <w:bottom w:type="dxa" w:w="80"/>
              <w:right w:type="dxa" w:w="120"/>
            </w:tcMar>
          </w:tcPr>
          <w:p>
            <w:r>
              <w:rPr>
                <w:b w:val="false"/>
                <w:bCs w:val="false"/>
                <w:sz w:val="20"/>
                <w:szCs w:val="20"/>
              </w:rPr>
              <w:t xml:space="preserve">First shadow statements distributed to every user department</w:t>
            </w:r>
          </w:p>
        </w:tc>
        <w:tc>
          <w:tcPr>
            <w:tcMar>
              <w:top w:type="dxa" w:w="80"/>
              <w:left w:type="dxa" w:w="120"/>
              <w:bottom w:type="dxa" w:w="80"/>
              <w:right w:type="dxa" w:w="120"/>
            </w:tcMar>
          </w:tcPr>
          <w:p>
            <w:r>
              <w:rPr>
                <w:b/>
                <w:bCs/>
                <w:color w:val="B4531A"/>
                <w:sz w:val="20"/>
                <w:szCs w:val="20"/>
              </w:rPr>
              <w:t xml:space="preserve">[NAME]</w:t>
            </w:r>
          </w:p>
        </w:tc>
        <w:tc>
          <w:tcPr>
            <w:tcMar>
              <w:top w:type="dxa" w:w="80"/>
              <w:left w:type="dxa" w:w="120"/>
              <w:bottom w:type="dxa" w:w="80"/>
              <w:right w:type="dxa" w:w="120"/>
            </w:tcMar>
          </w:tcPr>
          <w:p>
            <w:r>
              <w:rPr>
                <w:b w:val="false"/>
                <w:bCs w:val="false"/>
                <w:sz w:val="20"/>
                <w:szCs w:val="20"/>
              </w:rPr>
              <w:t xml:space="preserve">Statement per department</w:t>
            </w:r>
          </w:p>
        </w:tc>
      </w:tr>
      <w:tr>
        <w:trPr>
          <w:tblHeader w:val="false"/>
        </w:trPr>
        <w:tc>
          <w:tcPr>
            <w:tcMar>
              <w:top w:type="dxa" w:w="80"/>
              <w:left w:type="dxa" w:w="120"/>
              <w:bottom w:type="dxa" w:w="80"/>
              <w:right w:type="dxa" w:w="120"/>
            </w:tcMar>
          </w:tcPr>
          <w:p>
            <w:r>
              <w:rPr>
                <w:b w:val="false"/>
                <w:bCs w:val="false"/>
                <w:sz w:val="20"/>
                <w:szCs w:val="20"/>
              </w:rPr>
              <w:t xml:space="preserve">3</w:t>
            </w:r>
          </w:p>
        </w:tc>
        <w:tc>
          <w:tcPr>
            <w:tcMar>
              <w:top w:type="dxa" w:w="80"/>
              <w:left w:type="dxa" w:w="120"/>
              <w:bottom w:type="dxa" w:w="80"/>
              <w:right w:type="dxa" w:w="120"/>
            </w:tcMar>
          </w:tcPr>
          <w:p>
            <w:r>
              <w:rPr>
                <w:b w:val="false"/>
                <w:bCs w:val="false"/>
                <w:sz w:val="20"/>
                <w:szCs w:val="20"/>
              </w:rPr>
              <w:t xml:space="preserve">Objection log opened; first objections recorded verbatim, not paraphrased</w:t>
            </w:r>
          </w:p>
        </w:tc>
        <w:tc>
          <w:tcPr>
            <w:tcMar>
              <w:top w:type="dxa" w:w="80"/>
              <w:left w:type="dxa" w:w="120"/>
              <w:bottom w:type="dxa" w:w="80"/>
              <w:right w:type="dxa" w:w="120"/>
            </w:tcMar>
          </w:tcPr>
          <w:p>
            <w:r>
              <w:rPr>
                <w:b/>
                <w:bCs/>
                <w:color w:val="B4531A"/>
                <w:sz w:val="20"/>
                <w:szCs w:val="20"/>
              </w:rPr>
              <w:t xml:space="preserve">[NAME]</w:t>
            </w:r>
          </w:p>
        </w:tc>
        <w:tc>
          <w:tcPr>
            <w:tcMar>
              <w:top w:type="dxa" w:w="80"/>
              <w:left w:type="dxa" w:w="120"/>
              <w:bottom w:type="dxa" w:w="80"/>
              <w:right w:type="dxa" w:w="120"/>
            </w:tcMar>
          </w:tcPr>
          <w:p>
            <w:r>
              <w:rPr>
                <w:b w:val="false"/>
                <w:bCs w:val="false"/>
                <w:sz w:val="20"/>
                <w:szCs w:val="20"/>
              </w:rPr>
              <w:t xml:space="preserve">Objection log</w:t>
            </w:r>
          </w:p>
        </w:tc>
      </w:tr>
      <w:tr>
        <w:trPr>
          <w:tblHeader w:val="false"/>
        </w:trPr>
        <w:tc>
          <w:tcPr>
            <w:tcMar>
              <w:top w:type="dxa" w:w="80"/>
              <w:left w:type="dxa" w:w="120"/>
              <w:bottom w:type="dxa" w:w="80"/>
              <w:right w:type="dxa" w:w="120"/>
            </w:tcMar>
          </w:tcPr>
          <w:p>
            <w:r>
              <w:rPr>
                <w:b w:val="false"/>
                <w:bCs w:val="false"/>
                <w:sz w:val="20"/>
                <w:szCs w:val="20"/>
              </w:rPr>
              <w:t xml:space="preserve">4</w:t>
            </w:r>
          </w:p>
        </w:tc>
        <w:tc>
          <w:tcPr>
            <w:tcMar>
              <w:top w:type="dxa" w:w="80"/>
              <w:left w:type="dxa" w:w="120"/>
              <w:bottom w:type="dxa" w:w="80"/>
              <w:right w:type="dxa" w:w="120"/>
            </w:tcMar>
          </w:tcPr>
          <w:p>
            <w:r>
              <w:rPr>
                <w:b w:val="false"/>
                <w:bCs w:val="false"/>
                <w:sz w:val="20"/>
                <w:szCs w:val="20"/>
              </w:rPr>
              <w:t xml:space="preserve">First quarter recovery measured against actual fund expenditure</w:t>
            </w:r>
          </w:p>
        </w:tc>
        <w:tc>
          <w:tcPr>
            <w:tcMar>
              <w:top w:type="dxa" w:w="80"/>
              <w:left w:type="dxa" w:w="120"/>
              <w:bottom w:type="dxa" w:w="80"/>
              <w:right w:type="dxa" w:w="120"/>
            </w:tcMar>
          </w:tcPr>
          <w:p>
            <w:r>
              <w:rPr>
                <w:b/>
                <w:bCs/>
                <w:color w:val="B4531A"/>
                <w:sz w:val="20"/>
                <w:szCs w:val="20"/>
              </w:rPr>
              <w:t xml:space="preserve">[NAME]</w:t>
            </w:r>
          </w:p>
        </w:tc>
        <w:tc>
          <w:tcPr>
            <w:tcMar>
              <w:top w:type="dxa" w:w="80"/>
              <w:left w:type="dxa" w:w="120"/>
              <w:bottom w:type="dxa" w:w="80"/>
              <w:right w:type="dxa" w:w="120"/>
            </w:tcMar>
          </w:tcPr>
          <w:p>
            <w:r>
              <w:rPr>
                <w:b w:val="false"/>
                <w:bCs w:val="false"/>
                <w:sz w:val="20"/>
                <w:szCs w:val="20"/>
              </w:rPr>
              <w:t xml:space="preserve">Quarter 1 recovery memo</w:t>
            </w:r>
          </w:p>
        </w:tc>
      </w:tr>
      <w:tr>
        <w:trPr>
          <w:tblHeader w:val="false"/>
        </w:trPr>
        <w:tc>
          <w:tcPr>
            <w:tcMar>
              <w:top w:type="dxa" w:w="80"/>
              <w:left w:type="dxa" w:w="120"/>
              <w:bottom w:type="dxa" w:w="80"/>
              <w:right w:type="dxa" w:w="120"/>
            </w:tcMar>
          </w:tcPr>
          <w:p>
            <w:r>
              <w:rPr>
                <w:b w:val="false"/>
                <w:bCs w:val="false"/>
                <w:sz w:val="20"/>
                <w:szCs w:val="20"/>
              </w:rPr>
              <w:t xml:space="preserve">5</w:t>
            </w:r>
          </w:p>
        </w:tc>
        <w:tc>
          <w:tcPr>
            <w:tcMar>
              <w:top w:type="dxa" w:w="80"/>
              <w:left w:type="dxa" w:w="120"/>
              <w:bottom w:type="dxa" w:w="80"/>
              <w:right w:type="dxa" w:w="120"/>
            </w:tcMar>
          </w:tcPr>
          <w:p>
            <w:r>
              <w:rPr>
                <w:b w:val="false"/>
                <w:bCs w:val="false"/>
                <w:sz w:val="20"/>
                <w:szCs w:val="20"/>
              </w:rPr>
              <w:t xml:space="preserve">Usage assumptions tested against actual miles and hours by class</w:t>
            </w:r>
          </w:p>
        </w:tc>
        <w:tc>
          <w:tcPr>
            <w:tcMar>
              <w:top w:type="dxa" w:w="80"/>
              <w:left w:type="dxa" w:w="120"/>
              <w:bottom w:type="dxa" w:w="80"/>
              <w:right w:type="dxa" w:w="120"/>
            </w:tcMar>
          </w:tcPr>
          <w:p>
            <w:r>
              <w:rPr>
                <w:b/>
                <w:bCs/>
                <w:color w:val="B4531A"/>
                <w:sz w:val="20"/>
                <w:szCs w:val="20"/>
              </w:rPr>
              <w:t xml:space="preserve">[NAME]</w:t>
            </w:r>
          </w:p>
        </w:tc>
        <w:tc>
          <w:tcPr>
            <w:tcMar>
              <w:top w:type="dxa" w:w="80"/>
              <w:left w:type="dxa" w:w="120"/>
              <w:bottom w:type="dxa" w:w="80"/>
              <w:right w:type="dxa" w:w="120"/>
            </w:tcMar>
          </w:tcPr>
          <w:p>
            <w:r>
              <w:rPr>
                <w:b w:val="false"/>
                <w:bCs w:val="false"/>
                <w:sz w:val="20"/>
                <w:szCs w:val="20"/>
              </w:rPr>
              <w:t xml:space="preserve">Revised budgeted miles by class</w:t>
            </w:r>
          </w:p>
        </w:tc>
      </w:tr>
      <w:tr>
        <w:trPr>
          <w:tblHeader w:val="false"/>
        </w:trPr>
        <w:tc>
          <w:tcPr>
            <w:tcMar>
              <w:top w:type="dxa" w:w="80"/>
              <w:left w:type="dxa" w:w="120"/>
              <w:bottom w:type="dxa" w:w="80"/>
              <w:right w:type="dxa" w:w="120"/>
            </w:tcMar>
          </w:tcPr>
          <w:p>
            <w:r>
              <w:rPr>
                <w:b w:val="false"/>
                <w:bCs w:val="false"/>
                <w:sz w:val="20"/>
                <w:szCs w:val="20"/>
              </w:rPr>
              <w:t xml:space="preserve">6</w:t>
            </w:r>
          </w:p>
        </w:tc>
        <w:tc>
          <w:tcPr>
            <w:tcMar>
              <w:top w:type="dxa" w:w="80"/>
              <w:left w:type="dxa" w:w="120"/>
              <w:bottom w:type="dxa" w:w="80"/>
              <w:right w:type="dxa" w:w="120"/>
            </w:tcMar>
          </w:tcPr>
          <w:p>
            <w:r>
              <w:rPr>
                <w:b w:val="false"/>
                <w:bCs w:val="false"/>
                <w:sz w:val="20"/>
                <w:szCs w:val="20"/>
              </w:rPr>
              <w:t xml:space="preserve">Mid-year review with finance; rate components that are visibly wrong are corrected now</w:t>
            </w:r>
          </w:p>
        </w:tc>
        <w:tc>
          <w:tcPr>
            <w:tcMar>
              <w:top w:type="dxa" w:w="80"/>
              <w:left w:type="dxa" w:w="120"/>
              <w:bottom w:type="dxa" w:w="80"/>
              <w:right w:type="dxa" w:w="120"/>
            </w:tcMar>
          </w:tcPr>
          <w:p>
            <w:r>
              <w:rPr>
                <w:b/>
                <w:bCs/>
                <w:color w:val="B4531A"/>
                <w:sz w:val="20"/>
                <w:szCs w:val="20"/>
              </w:rPr>
              <w:t xml:space="preserve">[NAME]</w:t>
            </w:r>
          </w:p>
        </w:tc>
        <w:tc>
          <w:tcPr>
            <w:tcMar>
              <w:top w:type="dxa" w:w="80"/>
              <w:left w:type="dxa" w:w="120"/>
              <w:bottom w:type="dxa" w:w="80"/>
              <w:right w:type="dxa" w:w="120"/>
            </w:tcMar>
          </w:tcPr>
          <w:p>
            <w:r>
              <w:rPr>
                <w:b w:val="false"/>
                <w:bCs w:val="false"/>
                <w:sz w:val="20"/>
                <w:szCs w:val="20"/>
              </w:rPr>
              <w:t xml:space="preserve">Revised rate build</w:t>
            </w:r>
          </w:p>
        </w:tc>
      </w:tr>
      <w:tr>
        <w:trPr>
          <w:tblHeader w:val="false"/>
        </w:trPr>
        <w:tc>
          <w:tcPr>
            <w:tcMar>
              <w:top w:type="dxa" w:w="80"/>
              <w:left w:type="dxa" w:w="120"/>
              <w:bottom w:type="dxa" w:w="80"/>
              <w:right w:type="dxa" w:w="120"/>
            </w:tcMar>
          </w:tcPr>
          <w:p>
            <w:r>
              <w:rPr>
                <w:b w:val="false"/>
                <w:bCs w:val="false"/>
                <w:sz w:val="20"/>
                <w:szCs w:val="20"/>
              </w:rPr>
              <w:t xml:space="preserve">7</w:t>
            </w:r>
          </w:p>
        </w:tc>
        <w:tc>
          <w:tcPr>
            <w:tcMar>
              <w:top w:type="dxa" w:w="80"/>
              <w:left w:type="dxa" w:w="120"/>
              <w:bottom w:type="dxa" w:w="80"/>
              <w:right w:type="dxa" w:w="120"/>
            </w:tcMar>
          </w:tcPr>
          <w:p>
            <w:r>
              <w:rPr>
                <w:b w:val="false"/>
                <w:bCs w:val="false"/>
                <w:sz w:val="20"/>
                <w:szCs w:val="20"/>
              </w:rPr>
              <w:t xml:space="preserve">Overhead allocation basis reviewed with the departments that dispute it</w:t>
            </w:r>
          </w:p>
        </w:tc>
        <w:tc>
          <w:tcPr>
            <w:tcMar>
              <w:top w:type="dxa" w:w="80"/>
              <w:left w:type="dxa" w:w="120"/>
              <w:bottom w:type="dxa" w:w="80"/>
              <w:right w:type="dxa" w:w="120"/>
            </w:tcMar>
          </w:tcPr>
          <w:p>
            <w:r>
              <w:rPr>
                <w:b/>
                <w:bCs/>
                <w:color w:val="B4531A"/>
                <w:sz w:val="20"/>
                <w:szCs w:val="20"/>
              </w:rPr>
              <w:t xml:space="preserve">[NAME]</w:t>
            </w:r>
          </w:p>
        </w:tc>
        <w:tc>
          <w:tcPr>
            <w:tcMar>
              <w:top w:type="dxa" w:w="80"/>
              <w:left w:type="dxa" w:w="120"/>
              <w:bottom w:type="dxa" w:w="80"/>
              <w:right w:type="dxa" w:w="120"/>
            </w:tcMar>
          </w:tcPr>
          <w:p>
            <w:r>
              <w:rPr>
                <w:b w:val="false"/>
                <w:bCs w:val="false"/>
                <w:sz w:val="20"/>
                <w:szCs w:val="20"/>
              </w:rPr>
              <w:t xml:space="preserve">Written allocation basis</w:t>
            </w:r>
          </w:p>
        </w:tc>
      </w:tr>
      <w:tr>
        <w:trPr>
          <w:tblHeader w:val="false"/>
        </w:trPr>
        <w:tc>
          <w:tcPr>
            <w:tcMar>
              <w:top w:type="dxa" w:w="80"/>
              <w:left w:type="dxa" w:w="120"/>
              <w:bottom w:type="dxa" w:w="80"/>
              <w:right w:type="dxa" w:w="120"/>
            </w:tcMar>
          </w:tcPr>
          <w:p>
            <w:r>
              <w:rPr>
                <w:b w:val="false"/>
                <w:bCs w:val="false"/>
                <w:sz w:val="20"/>
                <w:szCs w:val="20"/>
              </w:rPr>
              <w:t xml:space="preserve">8</w:t>
            </w:r>
          </w:p>
        </w:tc>
        <w:tc>
          <w:tcPr>
            <w:tcMar>
              <w:top w:type="dxa" w:w="80"/>
              <w:left w:type="dxa" w:w="120"/>
              <w:bottom w:type="dxa" w:w="80"/>
              <w:right w:type="dxa" w:w="120"/>
            </w:tcMar>
          </w:tcPr>
          <w:p>
            <w:r>
              <w:rPr>
                <w:b w:val="false"/>
                <w:bCs w:val="false"/>
                <w:sz w:val="20"/>
                <w:szCs w:val="20"/>
              </w:rPr>
              <w:t xml:space="preserve">Second quarter recovery measured; cumulative variance reported</w:t>
            </w:r>
          </w:p>
        </w:tc>
        <w:tc>
          <w:tcPr>
            <w:tcMar>
              <w:top w:type="dxa" w:w="80"/>
              <w:left w:type="dxa" w:w="120"/>
              <w:bottom w:type="dxa" w:w="80"/>
              <w:right w:type="dxa" w:w="120"/>
            </w:tcMar>
          </w:tcPr>
          <w:p>
            <w:r>
              <w:rPr>
                <w:b/>
                <w:bCs/>
                <w:color w:val="B4531A"/>
                <w:sz w:val="20"/>
                <w:szCs w:val="20"/>
              </w:rPr>
              <w:t xml:space="preserve">[NAME]</w:t>
            </w:r>
          </w:p>
        </w:tc>
        <w:tc>
          <w:tcPr>
            <w:tcMar>
              <w:top w:type="dxa" w:w="80"/>
              <w:left w:type="dxa" w:w="120"/>
              <w:bottom w:type="dxa" w:w="80"/>
              <w:right w:type="dxa" w:w="120"/>
            </w:tcMar>
          </w:tcPr>
          <w:p>
            <w:r>
              <w:rPr>
                <w:b w:val="false"/>
                <w:bCs w:val="false"/>
                <w:sz w:val="20"/>
                <w:szCs w:val="20"/>
              </w:rPr>
              <w:t xml:space="preserve">Quarter 2 recovery memo</w:t>
            </w:r>
          </w:p>
        </w:tc>
      </w:tr>
      <w:tr>
        <w:trPr>
          <w:tblHeader w:val="false"/>
        </w:trPr>
        <w:tc>
          <w:tcPr>
            <w:tcMar>
              <w:top w:type="dxa" w:w="80"/>
              <w:left w:type="dxa" w:w="120"/>
              <w:bottom w:type="dxa" w:w="80"/>
              <w:right w:type="dxa" w:w="120"/>
            </w:tcMar>
          </w:tcPr>
          <w:p>
            <w:r>
              <w:rPr>
                <w:b w:val="false"/>
                <w:bCs w:val="false"/>
                <w:sz w:val="20"/>
                <w:szCs w:val="20"/>
              </w:rPr>
              <w:t xml:space="preserve">9</w:t>
            </w:r>
          </w:p>
        </w:tc>
        <w:tc>
          <w:tcPr>
            <w:tcMar>
              <w:top w:type="dxa" w:w="80"/>
              <w:left w:type="dxa" w:w="120"/>
              <w:bottom w:type="dxa" w:w="80"/>
              <w:right w:type="dxa" w:w="120"/>
            </w:tcMar>
          </w:tcPr>
          <w:p>
            <w:r>
              <w:rPr>
                <w:b w:val="false"/>
                <w:bCs w:val="false"/>
                <w:sz w:val="20"/>
                <w:szCs w:val="20"/>
              </w:rPr>
              <w:t xml:space="preserve">Turn-in candidates identified from the units departments say they do not need</w:t>
            </w:r>
          </w:p>
        </w:tc>
        <w:tc>
          <w:tcPr>
            <w:tcMar>
              <w:top w:type="dxa" w:w="80"/>
              <w:left w:type="dxa" w:w="120"/>
              <w:bottom w:type="dxa" w:w="80"/>
              <w:right w:type="dxa" w:w="120"/>
            </w:tcMar>
          </w:tcPr>
          <w:p>
            <w:r>
              <w:rPr>
                <w:b/>
                <w:bCs/>
                <w:color w:val="B4531A"/>
                <w:sz w:val="20"/>
                <w:szCs w:val="20"/>
              </w:rPr>
              <w:t xml:space="preserve">[NAME]</w:t>
            </w:r>
          </w:p>
        </w:tc>
        <w:tc>
          <w:tcPr>
            <w:tcMar>
              <w:top w:type="dxa" w:w="80"/>
              <w:left w:type="dxa" w:w="120"/>
              <w:bottom w:type="dxa" w:w="80"/>
              <w:right w:type="dxa" w:w="120"/>
            </w:tcMar>
          </w:tcPr>
          <w:p>
            <w:r>
              <w:rPr>
                <w:b w:val="false"/>
                <w:bCs w:val="false"/>
                <w:sz w:val="20"/>
                <w:szCs w:val="20"/>
              </w:rPr>
              <w:t xml:space="preserve">Draft turn-in list</w:t>
            </w:r>
          </w:p>
        </w:tc>
      </w:tr>
      <w:tr>
        <w:trPr>
          <w:tblHeader w:val="false"/>
        </w:trPr>
        <w:tc>
          <w:tcPr>
            <w:tcMar>
              <w:top w:type="dxa" w:w="80"/>
              <w:left w:type="dxa" w:w="120"/>
              <w:bottom w:type="dxa" w:w="80"/>
              <w:right w:type="dxa" w:w="120"/>
            </w:tcMar>
          </w:tcPr>
          <w:p>
            <w:r>
              <w:rPr>
                <w:b w:val="false"/>
                <w:bCs w:val="false"/>
                <w:sz w:val="20"/>
                <w:szCs w:val="20"/>
              </w:rPr>
              <w:t xml:space="preserve">10</w:t>
            </w:r>
          </w:p>
        </w:tc>
        <w:tc>
          <w:tcPr>
            <w:tcMar>
              <w:top w:type="dxa" w:w="80"/>
              <w:left w:type="dxa" w:w="120"/>
              <w:bottom w:type="dxa" w:w="80"/>
              <w:right w:type="dxa" w:w="120"/>
            </w:tcMar>
          </w:tcPr>
          <w:p>
            <w:r>
              <w:rPr>
                <w:b w:val="false"/>
                <w:bCs w:val="false"/>
                <w:sz w:val="20"/>
                <w:szCs w:val="20"/>
              </w:rPr>
              <w:t xml:space="preserve">Draft year-one rate schedule produced from the corrected build</w:t>
            </w:r>
          </w:p>
        </w:tc>
        <w:tc>
          <w:tcPr>
            <w:tcMar>
              <w:top w:type="dxa" w:w="80"/>
              <w:left w:type="dxa" w:w="120"/>
              <w:bottom w:type="dxa" w:w="80"/>
              <w:right w:type="dxa" w:w="120"/>
            </w:tcMar>
          </w:tcPr>
          <w:p>
            <w:r>
              <w:rPr>
                <w:b/>
                <w:bCs/>
                <w:color w:val="B4531A"/>
                <w:sz w:val="20"/>
                <w:szCs w:val="20"/>
              </w:rPr>
              <w:t xml:space="preserve">[NAME]</w:t>
            </w:r>
          </w:p>
        </w:tc>
        <w:tc>
          <w:tcPr>
            <w:tcMar>
              <w:top w:type="dxa" w:w="80"/>
              <w:left w:type="dxa" w:w="120"/>
              <w:bottom w:type="dxa" w:w="80"/>
              <w:right w:type="dxa" w:w="120"/>
            </w:tcMar>
          </w:tcPr>
          <w:p>
            <w:r>
              <w:rPr>
                <w:b w:val="false"/>
                <w:bCs w:val="false"/>
                <w:sz w:val="20"/>
                <w:szCs w:val="20"/>
              </w:rPr>
              <w:t xml:space="preserve">Draft rate schedule</w:t>
            </w:r>
          </w:p>
        </w:tc>
      </w:tr>
      <w:tr>
        <w:trPr>
          <w:tblHeader w:val="false"/>
        </w:trPr>
        <w:tc>
          <w:tcPr>
            <w:tcMar>
              <w:top w:type="dxa" w:w="80"/>
              <w:left w:type="dxa" w:w="120"/>
              <w:bottom w:type="dxa" w:w="80"/>
              <w:right w:type="dxa" w:w="120"/>
            </w:tcMar>
          </w:tcPr>
          <w:p>
            <w:r>
              <w:rPr>
                <w:b w:val="false"/>
                <w:bCs w:val="false"/>
                <w:sz w:val="20"/>
                <w:szCs w:val="20"/>
              </w:rPr>
              <w:t xml:space="preserve">11</w:t>
            </w:r>
          </w:p>
        </w:tc>
        <w:tc>
          <w:tcPr>
            <w:tcMar>
              <w:top w:type="dxa" w:w="80"/>
              <w:left w:type="dxa" w:w="120"/>
              <w:bottom w:type="dxa" w:w="80"/>
              <w:right w:type="dxa" w:w="120"/>
            </w:tcMar>
          </w:tcPr>
          <w:p>
            <w:r>
              <w:rPr>
                <w:b w:val="false"/>
                <w:bCs w:val="false"/>
                <w:sz w:val="20"/>
                <w:szCs w:val="20"/>
              </w:rPr>
              <w:t xml:space="preserve">Rate schedule and objection responses circulated to departments</w:t>
            </w:r>
          </w:p>
        </w:tc>
        <w:tc>
          <w:tcPr>
            <w:tcMar>
              <w:top w:type="dxa" w:w="80"/>
              <w:left w:type="dxa" w:w="120"/>
              <w:bottom w:type="dxa" w:w="80"/>
              <w:right w:type="dxa" w:w="120"/>
            </w:tcMar>
          </w:tcPr>
          <w:p>
            <w:r>
              <w:rPr>
                <w:b/>
                <w:bCs/>
                <w:color w:val="B4531A"/>
                <w:sz w:val="20"/>
                <w:szCs w:val="20"/>
              </w:rPr>
              <w:t xml:space="preserve">[NAME]</w:t>
            </w:r>
          </w:p>
        </w:tc>
        <w:tc>
          <w:tcPr>
            <w:tcMar>
              <w:top w:type="dxa" w:w="80"/>
              <w:left w:type="dxa" w:w="120"/>
              <w:bottom w:type="dxa" w:w="80"/>
              <w:right w:type="dxa" w:w="120"/>
            </w:tcMar>
          </w:tcPr>
          <w:p>
            <w:r>
              <w:rPr>
                <w:b w:val="false"/>
                <w:bCs w:val="false"/>
                <w:sz w:val="20"/>
                <w:szCs w:val="20"/>
              </w:rPr>
              <w:t xml:space="preserve">Rate memo per class</w:t>
            </w:r>
          </w:p>
        </w:tc>
      </w:tr>
      <w:tr>
        <w:trPr>
          <w:tblHeader w:val="false"/>
        </w:trPr>
        <w:tc>
          <w:tcPr>
            <w:tcMar>
              <w:top w:type="dxa" w:w="80"/>
              <w:left w:type="dxa" w:w="120"/>
              <w:bottom w:type="dxa" w:w="80"/>
              <w:right w:type="dxa" w:w="120"/>
            </w:tcMar>
          </w:tcPr>
          <w:p>
            <w:r>
              <w:rPr>
                <w:b w:val="false"/>
                <w:bCs w:val="false"/>
                <w:sz w:val="20"/>
                <w:szCs w:val="20"/>
              </w:rPr>
              <w:t xml:space="preserve">12</w:t>
            </w:r>
          </w:p>
        </w:tc>
        <w:tc>
          <w:tcPr>
            <w:tcMar>
              <w:top w:type="dxa" w:w="80"/>
              <w:left w:type="dxa" w:w="120"/>
              <w:bottom w:type="dxa" w:w="80"/>
              <w:right w:type="dxa" w:w="120"/>
            </w:tcMar>
          </w:tcPr>
          <w:p>
            <w:r>
              <w:rPr>
                <w:b w:val="false"/>
                <w:bCs w:val="false"/>
                <w:sz w:val="20"/>
                <w:szCs w:val="20"/>
              </w:rPr>
              <w:t xml:space="preserve">Full-year recovery reported; rate schedule and methodology submitted for adoption</w:t>
            </w:r>
          </w:p>
        </w:tc>
        <w:tc>
          <w:tcPr>
            <w:tcMar>
              <w:top w:type="dxa" w:w="80"/>
              <w:left w:type="dxa" w:w="120"/>
              <w:bottom w:type="dxa" w:w="80"/>
              <w:right w:type="dxa" w:w="120"/>
            </w:tcMar>
          </w:tcPr>
          <w:p>
            <w:r>
              <w:rPr>
                <w:b/>
                <w:bCs/>
                <w:color w:val="B4531A"/>
                <w:sz w:val="20"/>
                <w:szCs w:val="20"/>
              </w:rPr>
              <w:t xml:space="preserve">[NAME]</w:t>
            </w:r>
          </w:p>
        </w:tc>
        <w:tc>
          <w:tcPr>
            <w:tcMar>
              <w:top w:type="dxa" w:w="80"/>
              <w:left w:type="dxa" w:w="120"/>
              <w:bottom w:type="dxa" w:w="80"/>
              <w:right w:type="dxa" w:w="120"/>
            </w:tcMar>
          </w:tcPr>
          <w:p>
            <w:r>
              <w:rPr>
                <w:b w:val="false"/>
                <w:bCs w:val="false"/>
                <w:sz w:val="20"/>
                <w:szCs w:val="20"/>
              </w:rPr>
              <w:t xml:space="preserve">Adoption packet</w:t>
            </w:r>
          </w:p>
        </w:tc>
      </w:tr>
    </w:tbl>
    <w:p>
      <w:pPr>
        <w:spacing w:after="120"/>
      </w:pPr>
      <w:r>
        <w:t xml:space="preserve"/>
      </w:r>
    </w:p>
    <w:tbl>
      <w:tblPr>
        <w:tblW w:type="pct" w:w="100%"/>
        <w:tblBorders>
          <w:top w:val="single" w:color="B4531A" w:sz="6"/>
          <w:left w:val="single" w:color="B4531A" w:sz="6"/>
          <w:bottom w:val="single" w:color="B4531A" w:sz="6"/>
          <w:right w:val="single" w:color="B4531A" w:sz="6"/>
          <w:insideH w:val="none" w:color="FFFFFF" w:sz="0"/>
          <w:insideV w:val="none" w:color="FFFFFF" w:sz="0"/>
        </w:tblBorders>
      </w:tblPr>
      <w:tblGrid>
        <w:gridCol w:w="100"/>
      </w:tblGrid>
      <w:tr>
        <w:tc>
          <w:tcPr>
            <w:shd w:fill="FDF6EC" w:color="FDF6EC" w:val="solid"/>
            <w:tcMar>
              <w:top w:type="dxa" w:w="120"/>
              <w:left w:type="dxa" w:w="160"/>
              <w:bottom w:type="dxa" w:w="120"/>
              <w:right w:type="dxa" w:w="160"/>
            </w:tcMar>
          </w:tcPr>
          <w:p>
            <w:pPr>
              <w:spacing w:after="80"/>
            </w:pPr>
            <w:r>
              <w:rPr>
                <w:b/>
                <w:bCs/>
                <w:sz w:val="18"/>
                <w:szCs w:val="18"/>
              </w:rPr>
              <w:t xml:space="preserve">Delete this box before circulating.</w:t>
            </w:r>
          </w:p>
          <w:p>
            <w:pPr>
              <w:spacing w:after="50"/>
            </w:pPr>
            <w:r>
              <w:rPr>
                <w:sz w:val="18"/>
                <w:szCs w:val="18"/>
              </w:rPr>
              <w:t xml:space="preserve">Skipping this year is the single most common cause of a rocky first real year. It is a full section here for that reason.</w:t>
            </w:r>
          </w:p>
          <w:p>
            <w:pPr>
              <w:spacing w:after="50"/>
            </w:pPr>
            <w:r>
              <w:rPr>
                <w:sz w:val="18"/>
                <w:szCs w:val="18"/>
              </w:rPr>
              <w:t xml:space="preserve">Under-recovery does not go quietly at year end. Eliminating the effect of internal service fund activity requires preparers to look back and adjust the fund’s internal charges to break even, so a net loss from internal activity comes back as a pro rata increase in the amounts charged to the participating funds (GASB Codification 1800.703-4, quoting GASBS 34 Basis for Conclusions ¶314). The parallel year is where you find that out for free.</w:t>
            </w:r>
          </w:p>
        </w:tc>
      </w:tr>
    </w:tbl>
    <w:p>
      <w:pPr>
        <w:pStyle w:val="Heading1"/>
        <w:spacing w:after="120" w:before="260"/>
      </w:pPr>
      <w:r>
        <w:t xml:space="preserve">7. Adoption timeline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DF2F5" w:color="EDF2F5" w:val="solid"/>
            <w:tcMar>
              <w:top w:type="dxa" w:w="80"/>
              <w:left w:type="dxa" w:w="120"/>
              <w:bottom w:type="dxa" w:w="80"/>
              <w:right w:type="dxa" w:w="120"/>
            </w:tcMar>
          </w:tcPr>
          <w:p>
            <w:r>
              <w:rPr>
                <w:b/>
                <w:bCs/>
                <w:sz w:val="20"/>
                <w:szCs w:val="20"/>
              </w:rPr>
              <w:t xml:space="preserve">Milestone</w:t>
            </w:r>
          </w:p>
        </w:tc>
        <w:tc>
          <w:tcPr>
            <w:shd w:fill="EDF2F5" w:color="EDF2F5" w:val="solid"/>
            <w:tcMar>
              <w:top w:type="dxa" w:w="80"/>
              <w:left w:type="dxa" w:w="120"/>
              <w:bottom w:type="dxa" w:w="80"/>
              <w:right w:type="dxa" w:w="120"/>
            </w:tcMar>
          </w:tcPr>
          <w:p>
            <w:r>
              <w:rPr>
                <w:b/>
                <w:bCs/>
                <w:sz w:val="20"/>
                <w:szCs w:val="20"/>
              </w:rPr>
              <w:t xml:space="preserve">Target date</w:t>
            </w:r>
          </w:p>
        </w:tc>
        <w:tc>
          <w:tcPr>
            <w:shd w:fill="EDF2F5" w:color="EDF2F5" w:val="solid"/>
            <w:tcMar>
              <w:top w:type="dxa" w:w="80"/>
              <w:left w:type="dxa" w:w="120"/>
              <w:bottom w:type="dxa" w:w="80"/>
              <w:right w:type="dxa" w:w="120"/>
            </w:tcMar>
          </w:tcPr>
          <w:p>
            <w:r>
              <w:rPr>
                <w:b/>
                <w:bCs/>
                <w:sz w:val="20"/>
                <w:szCs w:val="20"/>
              </w:rPr>
              <w:t xml:space="preserve">Owner</w:t>
            </w:r>
          </w:p>
        </w:tc>
      </w:tr>
      <w:tr>
        <w:trPr>
          <w:tblHeader w:val="false"/>
        </w:trPr>
        <w:tc>
          <w:tcPr>
            <w:tcMar>
              <w:top w:type="dxa" w:w="80"/>
              <w:left w:type="dxa" w:w="120"/>
              <w:bottom w:type="dxa" w:w="80"/>
              <w:right w:type="dxa" w:w="120"/>
            </w:tcMar>
          </w:tcPr>
          <w:p>
            <w:r>
              <w:rPr>
                <w:b w:val="false"/>
                <w:bCs w:val="false"/>
                <w:sz w:val="20"/>
                <w:szCs w:val="20"/>
              </w:rPr>
              <w:t xml:space="preserve">Finance director engaged and named as co-author</w:t>
            </w:r>
          </w:p>
        </w:tc>
        <w:tc>
          <w:tcPr>
            <w:tcMar>
              <w:top w:type="dxa" w:w="80"/>
              <w:left w:type="dxa" w:w="120"/>
              <w:bottom w:type="dxa" w:w="80"/>
              <w:right w:type="dxa" w:w="120"/>
            </w:tcMar>
          </w:tcPr>
          <w:p>
            <w:r>
              <w:rPr>
                <w:b/>
                <w:bCs/>
                <w:color w:val="B4531A"/>
                <w:sz w:val="20"/>
                <w:szCs w:val="20"/>
              </w:rPr>
              <w:t xml:space="preserve">[DATE]</w:t>
            </w:r>
          </w:p>
        </w:tc>
        <w:tc>
          <w:tcPr>
            <w:tcMar>
              <w:top w:type="dxa" w:w="80"/>
              <w:left w:type="dxa" w:w="120"/>
              <w:bottom w:type="dxa" w:w="80"/>
              <w:right w:type="dxa" w:w="120"/>
            </w:tcMar>
          </w:tcPr>
          <w:p>
            <w:r>
              <w:rPr>
                <w:b/>
                <w:bCs/>
                <w:color w:val="B4531A"/>
                <w:sz w:val="20"/>
                <w:szCs w:val="20"/>
              </w:rPr>
              <w:t xml:space="preserve">[NAME]</w:t>
            </w:r>
          </w:p>
        </w:tc>
      </w:tr>
      <w:tr>
        <w:trPr>
          <w:tblHeader w:val="false"/>
        </w:trPr>
        <w:tc>
          <w:tcPr>
            <w:tcMar>
              <w:top w:type="dxa" w:w="80"/>
              <w:left w:type="dxa" w:w="120"/>
              <w:bottom w:type="dxa" w:w="80"/>
              <w:right w:type="dxa" w:w="120"/>
            </w:tcMar>
          </w:tcPr>
          <w:p>
            <w:r>
              <w:rPr>
                <w:b w:val="false"/>
                <w:bCs w:val="false"/>
                <w:sz w:val="20"/>
                <w:szCs w:val="20"/>
              </w:rPr>
              <w:t xml:space="preserve">Asset register complete and reconciled to the capital asset records</w:t>
            </w:r>
          </w:p>
        </w:tc>
        <w:tc>
          <w:tcPr>
            <w:tcMar>
              <w:top w:type="dxa" w:w="80"/>
              <w:left w:type="dxa" w:w="120"/>
              <w:bottom w:type="dxa" w:w="80"/>
              <w:right w:type="dxa" w:w="120"/>
            </w:tcMar>
          </w:tcPr>
          <w:p>
            <w:r>
              <w:rPr>
                <w:b/>
                <w:bCs/>
                <w:color w:val="B4531A"/>
                <w:sz w:val="20"/>
                <w:szCs w:val="20"/>
              </w:rPr>
              <w:t xml:space="preserve">[DATE]</w:t>
            </w:r>
          </w:p>
        </w:tc>
        <w:tc>
          <w:tcPr>
            <w:tcMar>
              <w:top w:type="dxa" w:w="80"/>
              <w:left w:type="dxa" w:w="120"/>
              <w:bottom w:type="dxa" w:w="80"/>
              <w:right w:type="dxa" w:w="120"/>
            </w:tcMar>
          </w:tcPr>
          <w:p>
            <w:r>
              <w:rPr>
                <w:b/>
                <w:bCs/>
                <w:color w:val="B4531A"/>
                <w:sz w:val="20"/>
                <w:szCs w:val="20"/>
              </w:rPr>
              <w:t xml:space="preserve">[NAME]</w:t>
            </w:r>
          </w:p>
        </w:tc>
      </w:tr>
      <w:tr>
        <w:trPr>
          <w:tblHeader w:val="false"/>
        </w:trPr>
        <w:tc>
          <w:tcPr>
            <w:tcMar>
              <w:top w:type="dxa" w:w="80"/>
              <w:left w:type="dxa" w:w="120"/>
              <w:bottom w:type="dxa" w:w="80"/>
              <w:right w:type="dxa" w:w="120"/>
            </w:tcMar>
          </w:tcPr>
          <w:p>
            <w:r>
              <w:rPr>
                <w:b w:val="false"/>
                <w:bCs w:val="false"/>
                <w:sz w:val="20"/>
                <w:szCs w:val="20"/>
              </w:rPr>
              <w:t xml:space="preserve">Opening position and funding gap reviewed with finance</w:t>
            </w:r>
          </w:p>
        </w:tc>
        <w:tc>
          <w:tcPr>
            <w:tcMar>
              <w:top w:type="dxa" w:w="80"/>
              <w:left w:type="dxa" w:w="120"/>
              <w:bottom w:type="dxa" w:w="80"/>
              <w:right w:type="dxa" w:w="120"/>
            </w:tcMar>
          </w:tcPr>
          <w:p>
            <w:r>
              <w:rPr>
                <w:b/>
                <w:bCs/>
                <w:color w:val="B4531A"/>
                <w:sz w:val="20"/>
                <w:szCs w:val="20"/>
              </w:rPr>
              <w:t xml:space="preserve">[DATE]</w:t>
            </w:r>
          </w:p>
        </w:tc>
        <w:tc>
          <w:tcPr>
            <w:tcMar>
              <w:top w:type="dxa" w:w="80"/>
              <w:left w:type="dxa" w:w="120"/>
              <w:bottom w:type="dxa" w:w="80"/>
              <w:right w:type="dxa" w:w="120"/>
            </w:tcMar>
          </w:tcPr>
          <w:p>
            <w:r>
              <w:rPr>
                <w:b/>
                <w:bCs/>
                <w:color w:val="B4531A"/>
                <w:sz w:val="20"/>
                <w:szCs w:val="20"/>
              </w:rPr>
              <w:t xml:space="preserve">[NAME]</w:t>
            </w:r>
          </w:p>
        </w:tc>
      </w:tr>
      <w:tr>
        <w:trPr>
          <w:tblHeader w:val="false"/>
        </w:trPr>
        <w:tc>
          <w:tcPr>
            <w:tcMar>
              <w:top w:type="dxa" w:w="80"/>
              <w:left w:type="dxa" w:w="120"/>
              <w:bottom w:type="dxa" w:w="80"/>
              <w:right w:type="dxa" w:w="120"/>
            </w:tcMar>
          </w:tcPr>
          <w:p>
            <w:r>
              <w:rPr>
                <w:b w:val="false"/>
                <w:bCs w:val="false"/>
                <w:sz w:val="20"/>
                <w:szCs w:val="20"/>
              </w:rPr>
              <w:t xml:space="preserve">Legacy asset option recommended</w:t>
            </w:r>
          </w:p>
        </w:tc>
        <w:tc>
          <w:tcPr>
            <w:tcMar>
              <w:top w:type="dxa" w:w="80"/>
              <w:left w:type="dxa" w:w="120"/>
              <w:bottom w:type="dxa" w:w="80"/>
              <w:right w:type="dxa" w:w="120"/>
            </w:tcMar>
          </w:tcPr>
          <w:p>
            <w:r>
              <w:rPr>
                <w:b/>
                <w:bCs/>
                <w:color w:val="B4531A"/>
                <w:sz w:val="20"/>
                <w:szCs w:val="20"/>
              </w:rPr>
              <w:t xml:space="preserve">[DATE]</w:t>
            </w:r>
          </w:p>
        </w:tc>
        <w:tc>
          <w:tcPr>
            <w:tcMar>
              <w:top w:type="dxa" w:w="80"/>
              <w:left w:type="dxa" w:w="120"/>
              <w:bottom w:type="dxa" w:w="80"/>
              <w:right w:type="dxa" w:w="120"/>
            </w:tcMar>
          </w:tcPr>
          <w:p>
            <w:r>
              <w:rPr>
                <w:b/>
                <w:bCs/>
                <w:color w:val="B4531A"/>
                <w:sz w:val="20"/>
                <w:szCs w:val="20"/>
              </w:rPr>
              <w:t xml:space="preserve">[NAME]</w:t>
            </w:r>
          </w:p>
        </w:tc>
      </w:tr>
      <w:tr>
        <w:trPr>
          <w:tblHeader w:val="false"/>
        </w:trPr>
        <w:tc>
          <w:tcPr>
            <w:tcMar>
              <w:top w:type="dxa" w:w="80"/>
              <w:left w:type="dxa" w:w="120"/>
              <w:bottom w:type="dxa" w:w="80"/>
              <w:right w:type="dxa" w:w="120"/>
            </w:tcMar>
          </w:tcPr>
          <w:p>
            <w:r>
              <w:rPr>
                <w:b w:val="false"/>
                <w:bCs w:val="false"/>
                <w:sz w:val="20"/>
                <w:szCs w:val="20"/>
              </w:rPr>
              <w:t xml:space="preserve">Rates built and reviewed</w:t>
            </w:r>
          </w:p>
        </w:tc>
        <w:tc>
          <w:tcPr>
            <w:tcMar>
              <w:top w:type="dxa" w:w="80"/>
              <w:left w:type="dxa" w:w="120"/>
              <w:bottom w:type="dxa" w:w="80"/>
              <w:right w:type="dxa" w:w="120"/>
            </w:tcMar>
          </w:tcPr>
          <w:p>
            <w:r>
              <w:rPr>
                <w:b/>
                <w:bCs/>
                <w:color w:val="B4531A"/>
                <w:sz w:val="20"/>
                <w:szCs w:val="20"/>
              </w:rPr>
              <w:t xml:space="preserve">[DATE]</w:t>
            </w:r>
          </w:p>
        </w:tc>
        <w:tc>
          <w:tcPr>
            <w:tcMar>
              <w:top w:type="dxa" w:w="80"/>
              <w:left w:type="dxa" w:w="120"/>
              <w:bottom w:type="dxa" w:w="80"/>
              <w:right w:type="dxa" w:w="120"/>
            </w:tcMar>
          </w:tcPr>
          <w:p>
            <w:r>
              <w:rPr>
                <w:b/>
                <w:bCs/>
                <w:color w:val="B4531A"/>
                <w:sz w:val="20"/>
                <w:szCs w:val="20"/>
              </w:rPr>
              <w:t xml:space="preserve">[NAME]</w:t>
            </w:r>
          </w:p>
        </w:tc>
      </w:tr>
      <w:tr>
        <w:trPr>
          <w:tblHeader w:val="false"/>
        </w:trPr>
        <w:tc>
          <w:tcPr>
            <w:tcMar>
              <w:top w:type="dxa" w:w="80"/>
              <w:left w:type="dxa" w:w="120"/>
              <w:bottom w:type="dxa" w:w="80"/>
              <w:right w:type="dxa" w:w="120"/>
            </w:tcMar>
          </w:tcPr>
          <w:p>
            <w:r>
              <w:rPr>
                <w:b w:val="false"/>
                <w:bCs w:val="false"/>
                <w:sz w:val="20"/>
                <w:szCs w:val="20"/>
              </w:rPr>
              <w:t xml:space="preserve">Parallel year begins</w:t>
            </w:r>
          </w:p>
        </w:tc>
        <w:tc>
          <w:tcPr>
            <w:tcMar>
              <w:top w:type="dxa" w:w="80"/>
              <w:left w:type="dxa" w:w="120"/>
              <w:bottom w:type="dxa" w:w="80"/>
              <w:right w:type="dxa" w:w="120"/>
            </w:tcMar>
          </w:tcPr>
          <w:p>
            <w:r>
              <w:rPr>
                <w:b/>
                <w:bCs/>
                <w:color w:val="B4531A"/>
                <w:sz w:val="20"/>
                <w:szCs w:val="20"/>
              </w:rPr>
              <w:t xml:space="preserve">[DATE]</w:t>
            </w:r>
          </w:p>
        </w:tc>
        <w:tc>
          <w:tcPr>
            <w:tcMar>
              <w:top w:type="dxa" w:w="80"/>
              <w:left w:type="dxa" w:w="120"/>
              <w:bottom w:type="dxa" w:w="80"/>
              <w:right w:type="dxa" w:w="120"/>
            </w:tcMar>
          </w:tcPr>
          <w:p>
            <w:r>
              <w:rPr>
                <w:b/>
                <w:bCs/>
                <w:color w:val="B4531A"/>
                <w:sz w:val="20"/>
                <w:szCs w:val="20"/>
              </w:rPr>
              <w:t xml:space="preserve">[NAME]</w:t>
            </w:r>
          </w:p>
        </w:tc>
      </w:tr>
      <w:tr>
        <w:trPr>
          <w:tblHeader w:val="false"/>
        </w:trPr>
        <w:tc>
          <w:tcPr>
            <w:tcMar>
              <w:top w:type="dxa" w:w="80"/>
              <w:left w:type="dxa" w:w="120"/>
              <w:bottom w:type="dxa" w:w="80"/>
              <w:right w:type="dxa" w:w="120"/>
            </w:tcMar>
          </w:tcPr>
          <w:p>
            <w:r>
              <w:rPr>
                <w:b w:val="false"/>
                <w:bCs w:val="false"/>
                <w:sz w:val="20"/>
                <w:szCs w:val="20"/>
              </w:rPr>
              <w:t xml:space="preserve">Parallel year full-year recovery reported</w:t>
            </w:r>
          </w:p>
        </w:tc>
        <w:tc>
          <w:tcPr>
            <w:tcMar>
              <w:top w:type="dxa" w:w="80"/>
              <w:left w:type="dxa" w:w="120"/>
              <w:bottom w:type="dxa" w:w="80"/>
              <w:right w:type="dxa" w:w="120"/>
            </w:tcMar>
          </w:tcPr>
          <w:p>
            <w:r>
              <w:rPr>
                <w:b/>
                <w:bCs/>
                <w:color w:val="B4531A"/>
                <w:sz w:val="20"/>
                <w:szCs w:val="20"/>
              </w:rPr>
              <w:t xml:space="preserve">[DATE]</w:t>
            </w:r>
          </w:p>
        </w:tc>
        <w:tc>
          <w:tcPr>
            <w:tcMar>
              <w:top w:type="dxa" w:w="80"/>
              <w:left w:type="dxa" w:w="120"/>
              <w:bottom w:type="dxa" w:w="80"/>
              <w:right w:type="dxa" w:w="120"/>
            </w:tcMar>
          </w:tcPr>
          <w:p>
            <w:r>
              <w:rPr>
                <w:b/>
                <w:bCs/>
                <w:color w:val="B4531A"/>
                <w:sz w:val="20"/>
                <w:szCs w:val="20"/>
              </w:rPr>
              <w:t xml:space="preserve">[NAME]</w:t>
            </w:r>
          </w:p>
        </w:tc>
      </w:tr>
      <w:tr>
        <w:trPr>
          <w:tblHeader w:val="false"/>
        </w:trPr>
        <w:tc>
          <w:tcPr>
            <w:tcMar>
              <w:top w:type="dxa" w:w="80"/>
              <w:left w:type="dxa" w:w="120"/>
              <w:bottom w:type="dxa" w:w="80"/>
              <w:right w:type="dxa" w:w="120"/>
            </w:tcMar>
          </w:tcPr>
          <w:p>
            <w:r>
              <w:rPr>
                <w:b w:val="false"/>
                <w:bCs w:val="false"/>
                <w:sz w:val="20"/>
                <w:szCs w:val="20"/>
              </w:rPr>
              <w:t xml:space="preserve">Fund, rate methodology and replacement policy adopted together</w:t>
            </w:r>
          </w:p>
        </w:tc>
        <w:tc>
          <w:tcPr>
            <w:tcMar>
              <w:top w:type="dxa" w:w="80"/>
              <w:left w:type="dxa" w:w="120"/>
              <w:bottom w:type="dxa" w:w="80"/>
              <w:right w:type="dxa" w:w="120"/>
            </w:tcMar>
          </w:tcPr>
          <w:p>
            <w:r>
              <w:rPr>
                <w:b/>
                <w:bCs/>
                <w:color w:val="B4531A"/>
                <w:sz w:val="20"/>
                <w:szCs w:val="20"/>
              </w:rPr>
              <w:t xml:space="preserve">[DATE]</w:t>
            </w:r>
          </w:p>
        </w:tc>
        <w:tc>
          <w:tcPr>
            <w:tcMar>
              <w:top w:type="dxa" w:w="80"/>
              <w:left w:type="dxa" w:w="120"/>
              <w:bottom w:type="dxa" w:w="80"/>
              <w:right w:type="dxa" w:w="120"/>
            </w:tcMar>
          </w:tcPr>
          <w:p>
            <w:r>
              <w:rPr>
                <w:b/>
                <w:bCs/>
                <w:color w:val="B4531A"/>
                <w:sz w:val="20"/>
                <w:szCs w:val="20"/>
              </w:rPr>
              <w:t xml:space="preserve">[COUNCIL / BOARD]</w:t>
            </w:r>
          </w:p>
        </w:tc>
      </w:tr>
      <w:tr>
        <w:trPr>
          <w:tblHeader w:val="false"/>
        </w:trPr>
        <w:tc>
          <w:tcPr>
            <w:tcMar>
              <w:top w:type="dxa" w:w="80"/>
              <w:left w:type="dxa" w:w="120"/>
              <w:bottom w:type="dxa" w:w="80"/>
              <w:right w:type="dxa" w:w="120"/>
            </w:tcMar>
          </w:tcPr>
          <w:p>
            <w:r>
              <w:rPr>
                <w:b w:val="false"/>
                <w:bCs w:val="false"/>
                <w:sz w:val="20"/>
                <w:szCs w:val="20"/>
              </w:rPr>
              <w:t xml:space="preserve">First real billing cycle</w:t>
            </w:r>
          </w:p>
        </w:tc>
        <w:tc>
          <w:tcPr>
            <w:tcMar>
              <w:top w:type="dxa" w:w="80"/>
              <w:left w:type="dxa" w:w="120"/>
              <w:bottom w:type="dxa" w:w="80"/>
              <w:right w:type="dxa" w:w="120"/>
            </w:tcMar>
          </w:tcPr>
          <w:p>
            <w:r>
              <w:rPr>
                <w:b/>
                <w:bCs/>
                <w:color w:val="B4531A"/>
                <w:sz w:val="20"/>
                <w:szCs w:val="20"/>
              </w:rPr>
              <w:t xml:space="preserve">[DATE]</w:t>
            </w:r>
          </w:p>
        </w:tc>
        <w:tc>
          <w:tcPr>
            <w:tcMar>
              <w:top w:type="dxa" w:w="80"/>
              <w:left w:type="dxa" w:w="120"/>
              <w:bottom w:type="dxa" w:w="80"/>
              <w:right w:type="dxa" w:w="120"/>
            </w:tcMar>
          </w:tcPr>
          <w:p>
            <w:r>
              <w:rPr>
                <w:b/>
                <w:bCs/>
                <w:color w:val="B4531A"/>
                <w:sz w:val="20"/>
                <w:szCs w:val="20"/>
              </w:rPr>
              <w:t xml:space="preserve">[NAME]</w:t>
            </w:r>
          </w:p>
        </w:tc>
      </w:tr>
    </w:tbl>
    <w:p>
      <w:pPr>
        <w:pStyle w:val="Heading1"/>
        <w:spacing w:after="120" w:before="260"/>
      </w:pPr>
      <w:r>
        <w:t xml:space="preserve">8. Year-one expectations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DF2F5" w:color="EDF2F5" w:val="solid"/>
            <w:tcMar>
              <w:top w:type="dxa" w:w="80"/>
              <w:left w:type="dxa" w:w="120"/>
              <w:bottom w:type="dxa" w:w="80"/>
              <w:right w:type="dxa" w:w="120"/>
            </w:tcMar>
          </w:tcPr>
          <w:p>
            <w:r>
              <w:rPr>
                <w:b/>
                <w:bCs/>
                <w:sz w:val="20"/>
                <w:szCs w:val="20"/>
              </w:rPr>
              <w:t xml:space="preserve">Situation</w:t>
            </w:r>
          </w:p>
        </w:tc>
        <w:tc>
          <w:tcPr>
            <w:shd w:fill="EDF2F5" w:color="EDF2F5" w:val="solid"/>
            <w:tcMar>
              <w:top w:type="dxa" w:w="80"/>
              <w:left w:type="dxa" w:w="120"/>
              <w:bottom w:type="dxa" w:w="80"/>
              <w:right w:type="dxa" w:w="120"/>
            </w:tcMar>
          </w:tcPr>
          <w:p>
            <w:r>
              <w:rPr>
                <w:b/>
                <w:bCs/>
                <w:sz w:val="20"/>
                <w:szCs w:val="20"/>
              </w:rPr>
              <w:t xml:space="preserve">The policy, decided now</w:t>
            </w:r>
          </w:p>
        </w:tc>
      </w:tr>
      <w:tr>
        <w:trPr>
          <w:tblHeader w:val="false"/>
        </w:trPr>
        <w:tc>
          <w:tcPr>
            <w:tcMar>
              <w:top w:type="dxa" w:w="80"/>
              <w:left w:type="dxa" w:w="120"/>
              <w:bottom w:type="dxa" w:w="80"/>
              <w:right w:type="dxa" w:w="120"/>
            </w:tcMar>
          </w:tcPr>
          <w:p>
            <w:r>
              <w:rPr>
                <w:b w:val="false"/>
                <w:bCs w:val="false"/>
                <w:sz w:val="20"/>
                <w:szCs w:val="20"/>
              </w:rPr>
              <w:t xml:space="preserve">A department asks to give units back</w:t>
            </w:r>
          </w:p>
        </w:tc>
        <w:tc>
          <w:tcPr>
            <w:tcMar>
              <w:top w:type="dxa" w:w="80"/>
              <w:left w:type="dxa" w:w="120"/>
              <w:bottom w:type="dxa" w:w="80"/>
              <w:right w:type="dxa" w:w="120"/>
            </w:tcMar>
          </w:tcPr>
          <w:p>
            <w:r>
              <w:rPr>
                <w:b w:val="false"/>
                <w:bCs w:val="false"/>
                <w:sz w:val="20"/>
                <w:szCs w:val="20"/>
              </w:rPr>
              <w:t xml:space="preserve">Mid-year turn-in window opens </w:t>
            </w:r>
            <w:r>
              <w:rPr>
                <w:b/>
                <w:bCs/>
                <w:color w:val="B4531A"/>
                <w:sz w:val="20"/>
                <w:szCs w:val="20"/>
              </w:rPr>
              <w:t xml:space="preserve">[MONTH]</w:t>
            </w:r>
            <w:r>
              <w:rPr>
                <w:b w:val="false"/>
                <w:bCs w:val="false"/>
                <w:sz w:val="20"/>
                <w:szCs w:val="20"/>
              </w:rPr>
              <w:t xml:space="preserve">. Units returned outside it continue to carry the fixed charge. The fixed charge is refunded </w:t>
            </w:r>
            <w:r>
              <w:rPr>
                <w:b/>
                <w:bCs/>
                <w:color w:val="B4531A"/>
                <w:sz w:val="20"/>
                <w:szCs w:val="20"/>
              </w:rPr>
              <w:t xml:space="preserve">[IMMEDIATELY / AT YEAR END]</w:t>
            </w:r>
            <w:r>
              <w:rPr>
                <w:b w:val="false"/>
                <w:bCs w:val="false"/>
                <w:sz w:val="20"/>
                <w:szCs w:val="20"/>
              </w:rPr>
              <w:t xml:space="preserve"> — decide this before the first request, not during it.</w:t>
            </w:r>
          </w:p>
        </w:tc>
      </w:tr>
      <w:tr>
        <w:trPr>
          <w:tblHeader w:val="false"/>
        </w:trPr>
        <w:tc>
          <w:tcPr>
            <w:tcMar>
              <w:top w:type="dxa" w:w="80"/>
              <w:left w:type="dxa" w:w="120"/>
              <w:bottom w:type="dxa" w:w="80"/>
              <w:right w:type="dxa" w:w="120"/>
            </w:tcMar>
          </w:tcPr>
          <w:p>
            <w:r>
              <w:rPr>
                <w:b w:val="false"/>
                <w:bCs w:val="false"/>
                <w:sz w:val="20"/>
                <w:szCs w:val="20"/>
              </w:rPr>
              <w:t xml:space="preserve">A department challenges a rate</w:t>
            </w:r>
          </w:p>
        </w:tc>
        <w:tc>
          <w:tcPr>
            <w:tcMar>
              <w:top w:type="dxa" w:w="80"/>
              <w:left w:type="dxa" w:w="120"/>
              <w:bottom w:type="dxa" w:w="80"/>
              <w:right w:type="dxa" w:w="120"/>
            </w:tcMar>
          </w:tcPr>
          <w:p>
            <w:r>
              <w:rPr>
                <w:b w:val="false"/>
                <w:bCs w:val="false"/>
                <w:sz w:val="20"/>
                <w:szCs w:val="20"/>
              </w:rPr>
              <w:t xml:space="preserve">The rate memo for that class is provided within </w:t>
            </w:r>
            <w:r>
              <w:rPr>
                <w:b/>
                <w:bCs/>
                <w:color w:val="B4531A"/>
                <w:sz w:val="20"/>
                <w:szCs w:val="20"/>
              </w:rPr>
              <w:t xml:space="preserve">[N]</w:t>
            </w:r>
            <w:r>
              <w:rPr>
                <w:b w:val="false"/>
                <w:bCs w:val="false"/>
                <w:sz w:val="20"/>
                <w:szCs w:val="20"/>
              </w:rPr>
              <w:t xml:space="preserve"> business days, showing the components and their basis. Challenges are answered in writing and logged.</w:t>
            </w:r>
          </w:p>
        </w:tc>
      </w:tr>
      <w:tr>
        <w:trPr>
          <w:tblHeader w:val="false"/>
        </w:trPr>
        <w:tc>
          <w:tcPr>
            <w:tcMar>
              <w:top w:type="dxa" w:w="80"/>
              <w:left w:type="dxa" w:w="120"/>
              <w:bottom w:type="dxa" w:w="80"/>
              <w:right w:type="dxa" w:w="120"/>
            </w:tcMar>
          </w:tcPr>
          <w:p>
            <w:r>
              <w:rPr>
                <w:b w:val="false"/>
                <w:bCs w:val="false"/>
                <w:sz w:val="20"/>
                <w:szCs w:val="20"/>
              </w:rPr>
              <w:t xml:space="preserve">Cost recovery is off</w:t>
            </w:r>
          </w:p>
        </w:tc>
        <w:tc>
          <w:tcPr>
            <w:tcMar>
              <w:top w:type="dxa" w:w="80"/>
              <w:left w:type="dxa" w:w="120"/>
              <w:bottom w:type="dxa" w:w="80"/>
              <w:right w:type="dxa" w:w="120"/>
            </w:tcMar>
          </w:tcPr>
          <w:p>
            <w:r>
              <w:rPr>
                <w:b w:val="false"/>
                <w:bCs w:val="false"/>
                <w:sz w:val="20"/>
                <w:szCs w:val="20"/>
              </w:rPr>
              <w:t xml:space="preserve">Reported monthly against budget with the variance explained, and trued up annually. Being visibly on top of a small variance builds more credibility than a perfect first year would.</w:t>
            </w:r>
          </w:p>
        </w:tc>
      </w:tr>
      <w:tr>
        <w:trPr>
          <w:tblHeader w:val="false"/>
        </w:trPr>
        <w:tc>
          <w:tcPr>
            <w:tcMar>
              <w:top w:type="dxa" w:w="80"/>
              <w:left w:type="dxa" w:w="120"/>
              <w:bottom w:type="dxa" w:w="80"/>
              <w:right w:type="dxa" w:w="120"/>
            </w:tcMar>
          </w:tcPr>
          <w:p>
            <w:r>
              <w:rPr>
                <w:b w:val="false"/>
                <w:bCs w:val="false"/>
                <w:sz w:val="20"/>
                <w:szCs w:val="20"/>
              </w:rPr>
              <w:t xml:space="preserve">The annual true-up</w:t>
            </w:r>
          </w:p>
        </w:tc>
        <w:tc>
          <w:tcPr>
            <w:tcMar>
              <w:top w:type="dxa" w:w="80"/>
              <w:left w:type="dxa" w:w="120"/>
              <w:bottom w:type="dxa" w:w="80"/>
              <w:right w:type="dxa" w:w="120"/>
            </w:tcMar>
          </w:tcPr>
          <w:p>
            <w:r>
              <w:rPr>
                <w:b w:val="false"/>
                <w:bCs w:val="false"/>
                <w:sz w:val="20"/>
                <w:szCs w:val="20"/>
              </w:rPr>
              <w:t xml:space="preserve">Performed at </w:t>
            </w:r>
            <w:r>
              <w:rPr>
                <w:b/>
                <w:bCs/>
                <w:color w:val="B4531A"/>
                <w:sz w:val="20"/>
                <w:szCs w:val="20"/>
              </w:rPr>
              <w:t xml:space="preserve">[MONTH]</w:t>
            </w:r>
            <w:r>
              <w:rPr>
                <w:b w:val="false"/>
                <w:bCs w:val="false"/>
                <w:sz w:val="20"/>
                <w:szCs w:val="20"/>
              </w:rPr>
              <w:t xml:space="preserve">, adjusting the following year’s rates rather than issuing retroactive charges.</w:t>
            </w:r>
          </w:p>
        </w:tc>
      </w:tr>
    </w:tbl>
    <w:p>
      <w:pPr>
        <w:spacing w:after="120"/>
      </w:pPr>
      <w:r>
        <w:t xml:space="preserve"/>
      </w:r>
    </w:p>
    <w:tbl>
      <w:tblPr>
        <w:tblW w:type="pct" w:w="100%"/>
        <w:tblBorders>
          <w:top w:val="single" w:color="B4531A" w:sz="6"/>
          <w:left w:val="single" w:color="B4531A" w:sz="6"/>
          <w:bottom w:val="single" w:color="B4531A" w:sz="6"/>
          <w:right w:val="single" w:color="B4531A" w:sz="6"/>
          <w:insideH w:val="none" w:color="FFFFFF" w:sz="0"/>
          <w:insideV w:val="none" w:color="FFFFFF" w:sz="0"/>
        </w:tblBorders>
      </w:tblPr>
      <w:tblGrid>
        <w:gridCol w:w="100"/>
      </w:tblGrid>
      <w:tr>
        <w:tc>
          <w:tcPr>
            <w:shd w:fill="FDF6EC" w:color="FDF6EC" w:val="solid"/>
            <w:tcMar>
              <w:top w:type="dxa" w:w="120"/>
              <w:left w:type="dxa" w:w="160"/>
              <w:bottom w:type="dxa" w:w="120"/>
              <w:right w:type="dxa" w:w="160"/>
            </w:tcMar>
          </w:tcPr>
          <w:p>
            <w:pPr>
              <w:spacing w:after="80"/>
            </w:pPr>
            <w:r>
              <w:rPr>
                <w:b/>
                <w:bCs/>
                <w:sz w:val="18"/>
                <w:szCs w:val="18"/>
              </w:rPr>
              <w:t xml:space="preserve">Delete this box before circulating.</w:t>
            </w:r>
          </w:p>
          <w:p>
            <w:pPr>
              <w:spacing w:after="50"/>
            </w:pPr>
            <w:r>
              <w:rPr>
                <w:sz w:val="18"/>
                <w:szCs w:val="18"/>
              </w:rPr>
              <w:t xml:space="preserve">The two failure modes, both of which happen quietly. First: rates set to be politically acceptable rather than accurate. The fund runs a quiet deficit for a few years, the reserve is short, and the reckoning arrives as an emergency capital request. If a rate has to be softened for political reasons, document the true rate and the subsidy separately so the gap stays visible.</w:t>
            </w:r>
          </w:p>
          <w:p>
            <w:pPr>
              <w:spacing w:after="50"/>
            </w:pPr>
            <w:r>
              <w:rPr>
                <w:sz w:val="18"/>
                <w:szCs w:val="18"/>
              </w:rPr>
              <w:t xml:space="preserve">Second: the reserve gets swept. That is what section 5 exists to prevent, and it only works if it is adopted at conversion.</w:t>
            </w:r>
          </w:p>
        </w:tc>
      </w:tr>
    </w:tbl>
    <w:p>
      <w:pPr>
        <w:pStyle w:val="Heading1"/>
        <w:spacing w:after="120" w:before="260"/>
      </w:pPr>
      <w:r>
        <w:t xml:space="preserve">Attachment A — opening position workbook</w:t>
      </w:r>
    </w:p>
    <w:p>
      <w:pPr>
        <w:spacing w:after="140"/>
      </w:pPr>
      <w:r>
        <w:t xml:space="preserve">Attached as isf-opening-position.xlsx. Each sheet answers a section of this plan, and the figures in the bracketed blanks above come from it.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DF2F5" w:color="EDF2F5" w:val="solid"/>
            <w:tcMar>
              <w:top w:type="dxa" w:w="80"/>
              <w:left w:type="dxa" w:w="120"/>
              <w:bottom w:type="dxa" w:w="80"/>
              <w:right w:type="dxa" w:w="120"/>
            </w:tcMar>
          </w:tcPr>
          <w:p>
            <w:r>
              <w:rPr>
                <w:b/>
                <w:bCs/>
                <w:sz w:val="20"/>
                <w:szCs w:val="20"/>
              </w:rPr>
              <w:t xml:space="preserve">Sheet</w:t>
            </w:r>
          </w:p>
        </w:tc>
        <w:tc>
          <w:tcPr>
            <w:shd w:fill="EDF2F5" w:color="EDF2F5" w:val="solid"/>
            <w:tcMar>
              <w:top w:type="dxa" w:w="80"/>
              <w:left w:type="dxa" w:w="120"/>
              <w:bottom w:type="dxa" w:w="80"/>
              <w:right w:type="dxa" w:w="120"/>
            </w:tcMar>
          </w:tcPr>
          <w:p>
            <w:r>
              <w:rPr>
                <w:b/>
                <w:bCs/>
                <w:sz w:val="20"/>
                <w:szCs w:val="20"/>
              </w:rPr>
              <w:t xml:space="preserve">Section of this plan it answers</w:t>
            </w:r>
          </w:p>
        </w:tc>
      </w:tr>
      <w:tr>
        <w:trPr>
          <w:tblHeader w:val="false"/>
        </w:trPr>
        <w:tc>
          <w:tcPr>
            <w:tcMar>
              <w:top w:type="dxa" w:w="80"/>
              <w:left w:type="dxa" w:w="120"/>
              <w:bottom w:type="dxa" w:w="80"/>
              <w:right w:type="dxa" w:w="120"/>
            </w:tcMar>
          </w:tcPr>
          <w:p>
            <w:r>
              <w:rPr>
                <w:b w:val="false"/>
                <w:bCs w:val="false"/>
                <w:sz w:val="20"/>
                <w:szCs w:val="20"/>
              </w:rPr>
              <w:t xml:space="preserve">Asset register</w:t>
            </w:r>
          </w:p>
        </w:tc>
        <w:tc>
          <w:tcPr>
            <w:tcMar>
              <w:top w:type="dxa" w:w="80"/>
              <w:left w:type="dxa" w:w="120"/>
              <w:bottom w:type="dxa" w:w="80"/>
              <w:right w:type="dxa" w:w="120"/>
            </w:tcMar>
          </w:tcPr>
          <w:p>
            <w:r>
              <w:rPr>
                <w:b w:val="false"/>
                <w:bCs w:val="false"/>
                <w:sz w:val="20"/>
                <w:szCs w:val="20"/>
              </w:rPr>
              <w:t xml:space="preserve">Section 1 — the unit count and the per-unit reserve gap behind the summary figure</w:t>
            </w:r>
          </w:p>
        </w:tc>
      </w:tr>
      <w:tr>
        <w:trPr>
          <w:tblHeader w:val="false"/>
        </w:trPr>
        <w:tc>
          <w:tcPr>
            <w:tcMar>
              <w:top w:type="dxa" w:w="80"/>
              <w:left w:type="dxa" w:w="120"/>
              <w:bottom w:type="dxa" w:w="80"/>
              <w:right w:type="dxa" w:w="120"/>
            </w:tcMar>
          </w:tcPr>
          <w:p>
            <w:r>
              <w:rPr>
                <w:b w:val="false"/>
                <w:bCs w:val="false"/>
                <w:sz w:val="20"/>
                <w:szCs w:val="20"/>
              </w:rPr>
              <w:t xml:space="preserve">Funding gap</w:t>
            </w:r>
          </w:p>
        </w:tc>
        <w:tc>
          <w:tcPr>
            <w:tcMar>
              <w:top w:type="dxa" w:w="80"/>
              <w:left w:type="dxa" w:w="120"/>
              <w:bottom w:type="dxa" w:w="80"/>
              <w:right w:type="dxa" w:w="120"/>
            </w:tcMar>
          </w:tcPr>
          <w:p>
            <w:r>
              <w:rPr>
                <w:b w:val="false"/>
                <w:bCs w:val="false"/>
                <w:sz w:val="20"/>
                <w:szCs w:val="20"/>
              </w:rPr>
              <w:t xml:space="preserve">Section 4 — the three legacy options, priced against each other</w:t>
            </w:r>
          </w:p>
        </w:tc>
      </w:tr>
      <w:tr>
        <w:trPr>
          <w:tblHeader w:val="false"/>
        </w:trPr>
        <w:tc>
          <w:tcPr>
            <w:tcMar>
              <w:top w:type="dxa" w:w="80"/>
              <w:left w:type="dxa" w:w="120"/>
              <w:bottom w:type="dxa" w:w="80"/>
              <w:right w:type="dxa" w:w="120"/>
            </w:tcMar>
          </w:tcPr>
          <w:p>
            <w:r>
              <w:rPr>
                <w:b w:val="false"/>
                <w:bCs w:val="false"/>
                <w:sz w:val="20"/>
                <w:szCs w:val="20"/>
              </w:rPr>
              <w:t xml:space="preserve">Opening balance sheet</w:t>
            </w:r>
          </w:p>
        </w:tc>
        <w:tc>
          <w:tcPr>
            <w:tcMar>
              <w:top w:type="dxa" w:w="80"/>
              <w:left w:type="dxa" w:w="120"/>
              <w:bottom w:type="dxa" w:w="80"/>
              <w:right w:type="dxa" w:w="120"/>
            </w:tcMar>
          </w:tcPr>
          <w:p>
            <w:r>
              <w:rPr>
                <w:b w:val="false"/>
                <w:bCs w:val="false"/>
                <w:sz w:val="20"/>
                <w:szCs w:val="20"/>
              </w:rPr>
              <w:t xml:space="preserve">Section 1 — opening net position, and section 3’s statement of what the fund holds</w:t>
            </w:r>
          </w:p>
        </w:tc>
      </w:tr>
      <w:tr>
        <w:trPr>
          <w:tblHeader w:val="false"/>
        </w:trPr>
        <w:tc>
          <w:tcPr>
            <w:tcMar>
              <w:top w:type="dxa" w:w="80"/>
              <w:left w:type="dxa" w:w="120"/>
              <w:bottom w:type="dxa" w:w="80"/>
              <w:right w:type="dxa" w:w="120"/>
            </w:tcMar>
          </w:tcPr>
          <w:p>
            <w:r>
              <w:rPr>
                <w:b w:val="false"/>
                <w:bCs w:val="false"/>
                <w:sz w:val="20"/>
                <w:szCs w:val="20"/>
              </w:rPr>
              <w:t xml:space="preserve">Working capital</w:t>
            </w:r>
          </w:p>
        </w:tc>
        <w:tc>
          <w:tcPr>
            <w:tcMar>
              <w:top w:type="dxa" w:w="80"/>
              <w:left w:type="dxa" w:w="120"/>
              <w:bottom w:type="dxa" w:w="80"/>
              <w:right w:type="dxa" w:w="120"/>
            </w:tcMar>
          </w:tcPr>
          <w:p>
            <w:r>
              <w:rPr>
                <w:b w:val="false"/>
                <w:bCs w:val="false"/>
                <w:sz w:val="20"/>
                <w:szCs w:val="20"/>
              </w:rPr>
              <w:t xml:space="preserve">Section 3 — the working capital target the resolution adopts</w:t>
            </w:r>
          </w:p>
        </w:tc>
      </w:tr>
      <w:tr>
        <w:trPr>
          <w:tblHeader w:val="false"/>
        </w:trPr>
        <w:tc>
          <w:tcPr>
            <w:tcMar>
              <w:top w:type="dxa" w:w="80"/>
              <w:left w:type="dxa" w:w="120"/>
              <w:bottom w:type="dxa" w:w="80"/>
              <w:right w:type="dxa" w:w="120"/>
            </w:tcMar>
          </w:tcPr>
          <w:p>
            <w:r>
              <w:rPr>
                <w:b w:val="false"/>
                <w:bCs w:val="false"/>
                <w:sz w:val="20"/>
                <w:szCs w:val="20"/>
              </w:rPr>
              <w:t xml:space="preserve">Parallel-year billing</w:t>
            </w:r>
          </w:p>
        </w:tc>
        <w:tc>
          <w:tcPr>
            <w:tcMar>
              <w:top w:type="dxa" w:w="80"/>
              <w:left w:type="dxa" w:w="120"/>
              <w:bottom w:type="dxa" w:w="80"/>
              <w:right w:type="dxa" w:w="120"/>
            </w:tcMar>
          </w:tcPr>
          <w:p>
            <w:r>
              <w:rPr>
                <w:b w:val="false"/>
                <w:bCs w:val="false"/>
                <w:sz w:val="20"/>
                <w:szCs w:val="20"/>
              </w:rPr>
              <w:t xml:space="preserve">Section 6 — the twelve-month recovery test</w:t>
            </w:r>
          </w:p>
        </w:tc>
      </w:tr>
    </w:tbl>
    <w:p>
      <w:pPr>
        <w:pStyle w:val="Heading1"/>
        <w:spacing w:after="120" w:before="260"/>
      </w:pPr>
      <w:r>
        <w:t xml:space="preserve">Draft resolution establishing the fund</w:t>
      </w:r>
    </w:p>
    <w:tbl>
      <w:tblPr>
        <w:tblW w:type="pct" w:w="100%"/>
        <w:tblBorders>
          <w:top w:val="single" w:color="B4531A" w:sz="6"/>
          <w:left w:val="single" w:color="B4531A" w:sz="6"/>
          <w:bottom w:val="single" w:color="B4531A" w:sz="6"/>
          <w:right w:val="single" w:color="B4531A" w:sz="6"/>
          <w:insideH w:val="none" w:color="FFFFFF" w:sz="0"/>
          <w:insideV w:val="none" w:color="FFFFFF" w:sz="0"/>
        </w:tblBorders>
      </w:tblPr>
      <w:tblGrid>
        <w:gridCol w:w="100"/>
      </w:tblGrid>
      <w:tr>
        <w:tc>
          <w:tcPr>
            <w:shd w:fill="FDF6EC" w:color="FDF6EC" w:val="solid"/>
            <w:tcMar>
              <w:top w:type="dxa" w:w="120"/>
              <w:left w:type="dxa" w:w="160"/>
              <w:bottom w:type="dxa" w:w="120"/>
              <w:right w:type="dxa" w:w="160"/>
            </w:tcMar>
          </w:tcPr>
          <w:p>
            <w:pPr>
              <w:spacing w:after="80"/>
            </w:pPr>
            <w:r>
              <w:rPr>
                <w:b/>
                <w:bCs/>
                <w:sz w:val="18"/>
                <w:szCs w:val="18"/>
              </w:rPr>
              <w:t xml:space="preserve">Delete this box before circulating.</w:t>
            </w:r>
          </w:p>
          <w:p>
            <w:pPr>
              <w:spacing w:after="50"/>
            </w:pPr>
            <w:r>
              <w:rPr>
                <w:sz w:val="18"/>
                <w:szCs w:val="18"/>
              </w:rPr>
              <w:t xml:space="preserve">This is a drafting aid. It is not an adopted instrument and it is not legal advice. Your attorney and your clerk own the form, the recitals and the enacting language.</w:t>
            </w:r>
          </w:p>
          <w:p>
            <w:pPr>
              <w:spacing w:after="50"/>
            </w:pPr>
            <w:r>
              <w:rPr>
                <w:sz w:val="18"/>
                <w:szCs w:val="18"/>
              </w:rPr>
              <w:t xml:space="preserve">The statutory authority to create the fund is local. Some states name it — Washington requires every county to establish an equipment rental and revolving fund by resolution (RCW 36.33A.010) — and many do not. Find your own authority before this goes on an agenda.</w:t>
            </w:r>
          </w:p>
        </w:tc>
      </w:tr>
    </w:tbl>
    <w:p>
      <w:pPr>
        <w:spacing w:after="120"/>
      </w:pPr>
      <w:r>
        <w:t xml:space="preserve"/>
      </w:r>
    </w:p>
    <w:p>
      <w:pPr>
        <w:pStyle w:val="Heading2"/>
        <w:spacing w:after="120" w:before="200"/>
      </w:pPr>
      <w:r>
        <w:t xml:space="preserve">Resolution No. </w:t>
      </w:r>
      <w:r>
        <w:rPr>
          <w:b/>
          <w:bCs/>
          <w:color w:val="B4531A"/>
        </w:rPr>
        <w:t xml:space="preserve">[NUMBER]</w:t>
      </w:r>
      <w:r>
        <w:t xml:space="preserve"> — establishing the </w:t>
      </w:r>
      <w:r>
        <w:rPr>
          <w:b/>
          <w:bCs/>
          <w:color w:val="B4531A"/>
        </w:rPr>
        <w:t xml:space="preserve">[FUND NAME/NUMBER]</w:t>
      </w:r>
    </w:p>
    <w:p>
      <w:pPr>
        <w:spacing w:after="120"/>
        <w:ind w:left="400"/>
      </w:pPr>
      <w:r>
        <w:rPr>
          <w:i/>
          <w:iCs/>
        </w:rPr>
        <w:t xml:space="preserve">WHEREAS </w:t>
      </w:r>
      <w:r>
        <w:rPr>
          <w:b/>
          <w:bCs/>
          <w:color w:val="B4531A"/>
        </w:rPr>
        <w:t xml:space="preserve">[AGENCY NAME]</w:t>
      </w:r>
      <w:r>
        <w:rPr>
          <w:i/>
          <w:iCs/>
        </w:rPr>
        <w:t xml:space="preserve"> owns and operates </w:t>
      </w:r>
      <w:r>
        <w:rPr>
          <w:b/>
          <w:bCs/>
          <w:color w:val="B4531A"/>
        </w:rPr>
        <w:t xml:space="preserve">[N]</w:t>
      </w:r>
      <w:r>
        <w:rPr>
          <w:i/>
          <w:iCs/>
        </w:rPr>
        <w:t xml:space="preserve"> vehicles and items of equipment used by multiple departments; and</w:t>
      </w:r>
    </w:p>
    <w:p>
      <w:pPr>
        <w:spacing w:after="120"/>
        <w:ind w:left="400"/>
      </w:pPr>
      <w:r>
        <w:rPr>
          <w:i/>
          <w:iCs/>
        </w:rPr>
        <w:t xml:space="preserve">WHEREAS the costs of operating, maintaining and replacing those assets are presently borne by the general fund and are not visible to the departments that use them; and</w:t>
      </w:r>
    </w:p>
    <w:p>
      <w:pPr>
        <w:spacing w:after="120"/>
        <w:ind w:left="400"/>
      </w:pPr>
      <w:r>
        <w:rPr>
          <w:i/>
          <w:iCs/>
        </w:rPr>
        <w:t xml:space="preserve">WHEREAS an internal service fund reports activity that provides goods or services to other funds, departments or agencies of the primary government on a cost-reimbursement basis; and</w:t>
      </w:r>
    </w:p>
    <w:p>
      <w:pPr>
        <w:spacing w:after="120"/>
        <w:ind w:left="400"/>
      </w:pPr>
      <w:r>
        <w:rPr>
          <w:i/>
          <w:iCs/>
        </w:rPr>
        <w:t xml:space="preserve">WHEREAS </w:t>
      </w:r>
      <w:r>
        <w:rPr>
          <w:b/>
          <w:bCs/>
          <w:color w:val="B4531A"/>
        </w:rPr>
        <w:t xml:space="preserve">[AGENCY NAME]</w:t>
      </w:r>
      <w:r>
        <w:rPr>
          <w:i/>
          <w:iCs/>
        </w:rPr>
        <w:t xml:space="preserve"> is the predominant participant in the fleet activity to be reported in the fund; now therefore</w:t>
      </w:r>
    </w:p>
    <w:p>
      <w:pPr>
        <w:spacing w:after="120"/>
        <w:ind w:left="400"/>
      </w:pPr>
      <w:r>
        <w:rPr>
          <w:i/>
          <w:iCs/>
        </w:rPr>
        <w:t xml:space="preserve">BE IT RESOLVED that the </w:t>
      </w:r>
      <w:r>
        <w:rPr>
          <w:b/>
          <w:bCs/>
          <w:color w:val="B4531A"/>
        </w:rPr>
        <w:t xml:space="preserve">[FUND NAME/NUMBER]</w:t>
      </w:r>
      <w:r>
        <w:rPr>
          <w:i/>
          <w:iCs/>
        </w:rPr>
        <w:t xml:space="preserve"> is established as an internal service fund for the operation, maintenance and replacement of </w:t>
      </w:r>
      <w:r>
        <w:rPr>
          <w:b/>
          <w:bCs/>
          <w:color w:val="B4531A"/>
        </w:rPr>
        <w:t xml:space="preserve">[AGENCY NAME]</w:t>
      </w:r>
      <w:r>
        <w:rPr>
          <w:i/>
          <w:iCs/>
        </w:rPr>
        <w:t xml:space="preserve"> vehicles and equipment.</w:t>
      </w:r>
    </w:p>
    <w:p>
      <w:pPr>
        <w:spacing w:after="120"/>
        <w:ind w:left="400"/>
      </w:pPr>
      <w:r>
        <w:rPr>
          <w:i/>
          <w:iCs/>
        </w:rPr>
        <w:t xml:space="preserve">The fund shall operate on a cost-reimbursement basis and is intended to break even rather than to generate a profit.</w:t>
      </w:r>
    </w:p>
    <w:p>
      <w:pPr>
        <w:spacing w:after="120"/>
        <w:ind w:left="400"/>
      </w:pPr>
      <w:r>
        <w:rPr>
          <w:i/>
          <w:iCs/>
        </w:rPr>
        <w:t xml:space="preserve">The rate methodology attached as Exhibit </w:t>
      </w:r>
      <w:r>
        <w:rPr>
          <w:b/>
          <w:bCs/>
          <w:color w:val="B4531A"/>
        </w:rPr>
        <w:t xml:space="preserve">[A]</w:t>
      </w:r>
      <w:r>
        <w:rPr>
          <w:i/>
          <w:iCs/>
        </w:rPr>
        <w:t xml:space="preserve"> is adopted, and rates charged to user departments shall be developed in accordance with it and reviewed </w:t>
      </w:r>
      <w:r>
        <w:rPr>
          <w:b/>
          <w:bCs/>
          <w:color w:val="B4531A"/>
        </w:rPr>
        <w:t xml:space="preserve">[ANNUALLY]</w:t>
      </w:r>
      <w:r>
        <w:rPr>
          <w:i/>
          <w:iCs/>
        </w:rPr>
        <w:t xml:space="preserve"> by the </w:t>
      </w:r>
      <w:r>
        <w:rPr>
          <w:b/>
          <w:bCs/>
          <w:color w:val="B4531A"/>
        </w:rPr>
        <w:t xml:space="preserve">[COUNCIL / BOARD]</w:t>
      </w:r>
      <w:r>
        <w:rPr>
          <w:i/>
          <w:iCs/>
        </w:rPr>
        <w:t xml:space="preserve">.</w:t>
      </w:r>
    </w:p>
    <w:p>
      <w:pPr>
        <w:spacing w:after="120"/>
        <w:ind w:left="400"/>
      </w:pPr>
      <w:r>
        <w:rPr>
          <w:i/>
          <w:iCs/>
        </w:rPr>
        <w:t xml:space="preserve">The vehicle replacement policy attached as Exhibit </w:t>
      </w:r>
      <w:r>
        <w:rPr>
          <w:b/>
          <w:bCs/>
          <w:color w:val="B4531A"/>
        </w:rPr>
        <w:t xml:space="preserve">[B]</w:t>
      </w:r>
      <w:r>
        <w:rPr>
          <w:i/>
          <w:iCs/>
        </w:rPr>
        <w:t xml:space="preserve"> is adopted, including the assigned replacement cycles by class.</w:t>
      </w:r>
    </w:p>
    <w:p>
      <w:pPr>
        <w:spacing w:after="120"/>
        <w:ind w:left="400"/>
      </w:pPr>
      <w:r>
        <w:rPr>
          <w:i/>
          <w:iCs/>
        </w:rPr>
        <w:t xml:space="preserve">The fund shall maintain operating working capital equivalent to </w:t>
      </w:r>
      <w:r>
        <w:rPr>
          <w:b/>
          <w:bCs/>
          <w:color w:val="B4531A"/>
        </w:rPr>
        <w:t xml:space="preserve">[N]</w:t>
      </w:r>
      <w:r>
        <w:rPr>
          <w:i/>
          <w:iCs/>
        </w:rPr>
        <w:t xml:space="preserve"> days of annual fund operating expense, excluding capital outlay and the replacement reserve accrual. Cash held as replacement reserve shall not be counted toward that target.</w:t>
      </w:r>
    </w:p>
    <w:p>
      <w:pPr>
        <w:spacing w:after="120"/>
        <w:ind w:left="400"/>
      </w:pPr>
      <w:r>
        <w:rPr>
          <w:i/>
          <w:iCs/>
        </w:rPr>
        <w:t xml:space="preserve">Balances accumulated in the replacement reserve are held for the replacement of fleet assets and for no other purpose. A transfer of any amount out of the replacement reserve requires </w:t>
      </w:r>
      <w:r>
        <w:rPr>
          <w:b/>
          <w:bCs/>
          <w:color w:val="B4531A"/>
        </w:rPr>
        <w:t xml:space="preserve">[SUPERMAJORITY / SPECIFIC FINDING]</w:t>
      </w:r>
      <w:r>
        <w:rPr>
          <w:i/>
          <w:iCs/>
        </w:rPr>
        <w:t xml:space="preserve"> of the </w:t>
      </w:r>
      <w:r>
        <w:rPr>
          <w:b/>
          <w:bCs/>
          <w:color w:val="B4531A"/>
        </w:rPr>
        <w:t xml:space="preserve">[COUNCIL / BOARD]</w:t>
      </w:r>
      <w:r>
        <w:rPr>
          <w:i/>
          <w:iCs/>
        </w:rPr>
        <w:t xml:space="preserve">, and shall be accompanied by a revised replacement schedule identifying the specific units whose replacement is deferred and the year to which each moves.</w:t>
      </w:r>
    </w:p>
    <w:p>
      <w:pPr>
        <w:spacing w:after="120"/>
        <w:ind w:left="400"/>
      </w:pPr>
      <w:r>
        <w:rPr>
          <w:i/>
          <w:iCs/>
        </w:rPr>
        <w:t xml:space="preserve">ADOPTED this </w:t>
      </w:r>
      <w:r>
        <w:rPr>
          <w:b/>
          <w:bCs/>
          <w:color w:val="B4531A"/>
        </w:rPr>
        <w:t xml:space="preserve">[DATE]</w:t>
      </w:r>
      <w:r>
        <w:rPr>
          <w:i/>
          <w:iCs/>
        </w:rPr>
        <w:t xml:space="preserve">.</w:t>
      </w:r>
    </w:p>
    <w:p>
      <w:pPr>
        <w:spacing w:after="120"/>
      </w:pPr>
      <w:r>
        <w:t xml:space="preserve"/>
      </w:r>
    </w:p>
    <w:p>
      <w:pPr>
        <w:spacing w:after="120"/>
      </w:pPr>
      <w:r>
        <w:rPr>
          <w:i/>
          <w:iCs/>
          <w:sz w:val="18"/>
          <w:szCs w:val="18"/>
        </w:rPr>
        <w:t xml:space="preserve">The cost-reimbursement and predominant-participant language above tracks GASB Codification 1300.110 [GASBS 34, ¶68]. The break-even intent is how state audit guidance describes the same requirement — the Indiana State Board of Accounts defines an internal service fund as operating on a cost-reimbursement basis with the goal to break even rather than make a profit, and the Washington State Auditor’s ER&amp;R guidance says such funds should operate on a cost reimbursement basis without generating a profit.</w:t>
      </w:r>
    </w:p>
    <w:p>
      <w:pPr>
        <w:spacing w:after="20" w:before="240"/>
      </w:pPr>
      <w:r>
        <w:rPr>
          <w:b/>
          <w:bCs/>
          <w:sz w:val="20"/>
          <w:szCs w:val="20"/>
        </w:rPr>
        <w:t xml:space="preserve">Prepared by (fleet — name, title, date)</w:t>
      </w:r>
    </w:p>
    <w:p>
      <w:pPr>
        <w:pBdr>
          <w:bottom w:val="single" w:color="23414B" w:sz="6"/>
        </w:pBdr>
        <w:spacing w:after="160"/>
      </w:pPr>
      <w:r>
        <w:t xml:space="preserve"/>
      </w:r>
    </w:p>
    <w:p>
      <w:pPr>
        <w:spacing w:after="20" w:before="240"/>
      </w:pPr>
      <w:r>
        <w:rPr>
          <w:b/>
          <w:bCs/>
          <w:sz w:val="20"/>
          <w:szCs w:val="20"/>
        </w:rPr>
        <w:t xml:space="preserve">Concurred (finance director — name, title, date)</w:t>
      </w:r>
    </w:p>
    <w:p>
      <w:pPr>
        <w:pBdr>
          <w:bottom w:val="single" w:color="23414B" w:sz="6"/>
        </w:pBdr>
        <w:spacing w:after="160"/>
      </w:pPr>
      <w:r>
        <w:t xml:space="preserve"/>
      </w:r>
    </w:p>
    <w:p>
      <w:pPr>
        <w:spacing w:after="20" w:before="240"/>
      </w:pPr>
      <w:r>
        <w:rPr>
          <w:b/>
          <w:bCs/>
          <w:sz w:val="20"/>
          <w:szCs w:val="20"/>
        </w:rPr>
        <w:t xml:space="preserve">Reviewed as to form (attorney — name, date)</w:t>
      </w:r>
    </w:p>
    <w:p>
      <w:pPr>
        <w:pBdr>
          <w:bottom w:val="single" w:color="23414B" w:sz="6"/>
        </w:pBdr>
        <w:spacing w:after="160"/>
      </w:pPr>
      <w:r>
        <w:t xml:space="preserve"/>
      </w:r>
    </w:p>
    <w:p>
      <w:pPr>
        <w:sectPr>
          <w:pgSz w:w="11906" w:h="16838" w:orient="portrait"/>
          <w:pgMar w:top="1000" w:right="1000" w:bottom="1000" w:left="1000" w:header="708" w:footer="708" w:gutter="0"/>
          <w:pgNumType/>
          <w:docGrid w:linePitch="360"/>
        </w:sectPr>
      </w:pPr>
    </w:p>
    <w:p>
      <w:pPr>
        <w:pStyle w:val="Heading1"/>
        <w:spacing w:after="120" w:before="260"/>
      </w:pPr>
      <w:r>
        <w:t xml:space="preserve">About this template</w:t>
      </w:r>
    </w:p>
    <w:p>
      <w:pPr>
        <w:spacing w:after="140"/>
      </w:pPr>
      <w:r>
        <w:t xml:space="preserve">This plan accompanies the guide "Moving fleet to an internal service fund" and its companion workbook, isf-opening-position.xlsx. Every figure in it is one you supply from that workbook or your own records.</w:t>
      </w:r>
    </w:p>
    <w:p>
      <w:pPr>
        <w:spacing w:after="140"/>
      </w:pPr>
      <w:r>
        <w:t xml:space="preserve">Guide: </w:t>
      </w:r>
      <w:r>
        <w:t xml:space="preserve">https://fleetdesk.axionfleetai.com/guides/internal-service-fund/</w:t>
      </w:r>
    </w:p>
    <w:p>
      <w:pPr>
        <w:spacing w:after="140"/>
      </w:pPr>
      <w:r>
        <w:t xml:space="preserve">Template version 1.0 — reviewed 2026-07-01</w:t>
      </w:r>
    </w:p>
    <w:p>
      <w:pPr>
        <w:pStyle w:val="Heading2"/>
        <w:spacing w:after="120" w:before="260"/>
      </w:pPr>
      <w:r>
        <w:t xml:space="preserve">Sources</w:t>
      </w:r>
    </w:p>
    <w:p>
      <w:pPr>
        <w:pStyle w:val="ListParagraph"/>
        <w:numPr>
          <w:ilvl w:val="0"/>
          <w:numId w:val="1"/>
        </w:numPr>
        <w:spacing w:after="80"/>
      </w:pPr>
      <w:r>
        <w:rPr>
          <w:sz w:val="20"/>
          <w:szCs w:val="20"/>
        </w:rPr>
        <w:t xml:space="preserve">GASB Codification 1300.110 [GASBS 34, ¶68] — internal service funds may report activity provided to other funds, departments or agencies on a cost-reimbursement basis, and only where the reporting government is the predominant participant</w:t>
      </w:r>
      <w:r>
        <w:rPr>
          <w:i/>
          <w:iCs/>
          <w:sz w:val="20"/>
          <w:szCs w:val="20"/>
        </w:rPr>
        <w:t xml:space="preserve"> — primary source</w:t>
      </w:r>
      <w:r>
        <w:rPr>
          <w:color w:val="6B7280"/>
          <w:sz w:val="16"/>
          <w:szCs w:val="16"/>
        </w:rPr>
        <w:t xml:space="preserve">  https://storage.gasb.org/Sections_1100-3100.pdf</w:t>
      </w:r>
    </w:p>
    <w:p>
      <w:pPr>
        <w:pStyle w:val="ListParagraph"/>
        <w:numPr>
          <w:ilvl w:val="0"/>
          <w:numId w:val="1"/>
        </w:numPr>
        <w:spacing w:after="80"/>
      </w:pPr>
      <w:r>
        <w:rPr>
          <w:sz w:val="20"/>
          <w:szCs w:val="20"/>
        </w:rPr>
        <w:t xml:space="preserve">GASB Codification 2200.172–.173 [GASBS 34, ¶91 as amended by GASBS 63, ¶8; GASBS 34, ¶96] — the three statements a proprietary fund must present, and internal service fund totals reported in separate columns to the right of the total enterprise funds column</w:t>
      </w:r>
      <w:r>
        <w:rPr>
          <w:i/>
          <w:iCs/>
          <w:sz w:val="20"/>
          <w:szCs w:val="20"/>
        </w:rPr>
        <w:t xml:space="preserve"> — primary source</w:t>
      </w:r>
      <w:r>
        <w:rPr>
          <w:color w:val="6B7280"/>
          <w:sz w:val="16"/>
          <w:szCs w:val="16"/>
        </w:rPr>
        <w:t xml:space="preserve">  https://storage.gasb.org/Sections_1100-3100.pdf</w:t>
      </w:r>
    </w:p>
    <w:p>
      <w:pPr>
        <w:pStyle w:val="ListParagraph"/>
        <w:numPr>
          <w:ilvl w:val="0"/>
          <w:numId w:val="1"/>
        </w:numPr>
        <w:spacing w:after="80"/>
      </w:pPr>
      <w:r>
        <w:rPr>
          <w:sz w:val="20"/>
          <w:szCs w:val="20"/>
        </w:rPr>
        <w:t xml:space="preserve">GASB Codification 1800.156–.157 [GASBS 63, ¶8] — net position displayed in three components, and net investment in capital assets as capital assets net of accumulated depreciation reduced by the borrowings attributable to them</w:t>
      </w:r>
      <w:r>
        <w:rPr>
          <w:i/>
          <w:iCs/>
          <w:sz w:val="20"/>
          <w:szCs w:val="20"/>
        </w:rPr>
        <w:t xml:space="preserve"> — primary source</w:t>
      </w:r>
      <w:r>
        <w:rPr>
          <w:color w:val="6B7280"/>
          <w:sz w:val="16"/>
          <w:szCs w:val="16"/>
        </w:rPr>
        <w:t xml:space="preserve">  https://storage.gasb.org/Sections_1100-3100.pdf</w:t>
      </w:r>
    </w:p>
    <w:p>
      <w:pPr>
        <w:pStyle w:val="ListParagraph"/>
        <w:numPr>
          <w:ilvl w:val="0"/>
          <w:numId w:val="1"/>
        </w:numPr>
        <w:spacing w:after="80"/>
      </w:pPr>
      <w:r>
        <w:rPr>
          <w:sz w:val="20"/>
          <w:szCs w:val="20"/>
        </w:rPr>
        <w:t xml:space="preserve">GASB Codification 1800.703-4 [GASBIG 2015-1, Q7.47.6, quoting GASBS 34 Basis for Conclusions ¶314] — eliminating the effect of internal service fund activity requires preparers to look back and adjust the fund’s internal charges to break even; net income causes a pro rata reduction in charges and a net loss a pro rata increase</w:t>
      </w:r>
      <w:r>
        <w:rPr>
          <w:i/>
          <w:iCs/>
          <w:sz w:val="20"/>
          <w:szCs w:val="20"/>
        </w:rPr>
        <w:t xml:space="preserve"> — primary source</w:t>
      </w:r>
      <w:r>
        <w:rPr>
          <w:color w:val="6B7280"/>
          <w:sz w:val="16"/>
          <w:szCs w:val="16"/>
        </w:rPr>
        <w:t xml:space="preserve">  https://storage.gasb.org/Sections_1100-3100.pdf</w:t>
      </w:r>
    </w:p>
    <w:p>
      <w:pPr>
        <w:pStyle w:val="ListParagraph"/>
        <w:numPr>
          <w:ilvl w:val="0"/>
          <w:numId w:val="1"/>
        </w:numPr>
        <w:spacing w:after="80"/>
      </w:pPr>
      <w:r>
        <w:rPr>
          <w:sz w:val="20"/>
          <w:szCs w:val="20"/>
        </w:rPr>
        <w:t xml:space="preserve">Indiana State Board of Accounts — Accounting and Uniform Compliance Guidelines Manual, Chapter 13, Internal Service Funds: the goal is to break even rather than make a profit, and the predominant participants must be government</w:t>
      </w:r>
      <w:r>
        <w:rPr>
          <w:i/>
          <w:iCs/>
          <w:sz w:val="20"/>
          <w:szCs w:val="20"/>
        </w:rPr>
        <w:t xml:space="preserve"> — primary source</w:t>
      </w:r>
      <w:r>
        <w:rPr>
          <w:color w:val="6B7280"/>
          <w:sz w:val="16"/>
          <w:szCs w:val="16"/>
        </w:rPr>
        <w:t xml:space="preserve">  https://secure.in.gov/sboa/files/CH13-Internal-Service-Funds_9-25.pdf</w:t>
      </w:r>
    </w:p>
    <w:p>
      <w:pPr>
        <w:pStyle w:val="ListParagraph"/>
        <w:numPr>
          <w:ilvl w:val="0"/>
          <w:numId w:val="1"/>
        </w:numPr>
        <w:spacing w:after="80"/>
      </w:pPr>
      <w:r>
        <w:rPr>
          <w:sz w:val="20"/>
          <w:szCs w:val="20"/>
        </w:rPr>
        <w:t xml:space="preserve">Washington State Auditor — BARS Cash Manual, Equipment Rental and Revolving (ER&amp;R) Fund: rate structures should cover all costs associated with operating the fund, the fund should operate on a cost reimbursement basis without generating a profit, and fund balance should support timely replacement as determined during rate setting</w:t>
      </w:r>
      <w:r>
        <w:rPr>
          <w:i/>
          <w:iCs/>
          <w:sz w:val="20"/>
          <w:szCs w:val="20"/>
        </w:rPr>
        <w:t xml:space="preserve"> — primary source</w:t>
      </w:r>
      <w:r>
        <w:rPr>
          <w:color w:val="6B7280"/>
          <w:sz w:val="16"/>
          <w:szCs w:val="16"/>
        </w:rPr>
        <w:t xml:space="preserve">  https://sao.wa.gov/bars-annual-filing/bars-cash-manual/accounting/interfund-activities/equipment-rental-and-revolving-err-fund</w:t>
      </w:r>
    </w:p>
    <w:p>
      <w:pPr>
        <w:pStyle w:val="ListParagraph"/>
        <w:numPr>
          <w:ilvl w:val="0"/>
          <w:numId w:val="1"/>
        </w:numPr>
        <w:spacing w:after="80"/>
      </w:pPr>
      <w:r>
        <w:rPr>
          <w:sz w:val="20"/>
          <w:szCs w:val="20"/>
        </w:rPr>
        <w:t xml:space="preserve">RCW 36.33A.010 — every Washington county shall establish an equipment rental and revolving fund by resolution, for the purchase, maintenance and repair of county road department equipment</w:t>
      </w:r>
      <w:r>
        <w:rPr>
          <w:i/>
          <w:iCs/>
          <w:sz w:val="20"/>
          <w:szCs w:val="20"/>
        </w:rPr>
        <w:t xml:space="preserve"> — primary source</w:t>
      </w:r>
      <w:r>
        <w:rPr>
          <w:color w:val="6B7280"/>
          <w:sz w:val="16"/>
          <w:szCs w:val="16"/>
        </w:rPr>
        <w:t xml:space="preserve">  https://app.leg.wa.gov/rcw/default.aspx?cite=36.33A.010</w:t>
      </w:r>
    </w:p>
    <w:p>
      <w:pPr>
        <w:pStyle w:val="ListParagraph"/>
        <w:numPr>
          <w:ilvl w:val="0"/>
          <w:numId w:val="1"/>
        </w:numPr>
        <w:spacing w:after="80"/>
      </w:pPr>
      <w:r>
        <w:rPr>
          <w:sz w:val="20"/>
          <w:szCs w:val="20"/>
        </w:rPr>
        <w:t xml:space="preserve">RCW 36.33A.040 — rental rates shall cover all costs of maintenance and repair, material and supplies, and the future replacement of the equipment, and are determined by the county engineer subject to annual review by the legislative body</w:t>
      </w:r>
      <w:r>
        <w:rPr>
          <w:i/>
          <w:iCs/>
          <w:sz w:val="20"/>
          <w:szCs w:val="20"/>
        </w:rPr>
        <w:t xml:space="preserve"> — primary source</w:t>
      </w:r>
      <w:r>
        <w:rPr>
          <w:color w:val="6B7280"/>
          <w:sz w:val="16"/>
          <w:szCs w:val="16"/>
        </w:rPr>
        <w:t xml:space="preserve">  https://app.leg.wa.gov/rcw/default.aspx?cite=36.33A.040</w:t>
      </w:r>
    </w:p>
    <w:p>
      <w:pPr>
        <w:pStyle w:val="ListParagraph"/>
        <w:numPr>
          <w:ilvl w:val="0"/>
          <w:numId w:val="1"/>
        </w:numPr>
        <w:spacing w:after="80"/>
      </w:pPr>
      <w:r>
        <w:rPr>
          <w:sz w:val="20"/>
          <w:szCs w:val="20"/>
        </w:rPr>
        <w:t xml:space="preserve">RCW 35.21.088 — every city over eight thousand population shall establish an equipment rental fund covering the salaries, wages and operations required to repair, replace, purchase and operate equipment</w:t>
      </w:r>
      <w:r>
        <w:rPr>
          <w:i/>
          <w:iCs/>
          <w:sz w:val="20"/>
          <w:szCs w:val="20"/>
        </w:rPr>
        <w:t xml:space="preserve"> — primary source</w:t>
      </w:r>
      <w:r>
        <w:rPr>
          <w:color w:val="6B7280"/>
          <w:sz w:val="16"/>
          <w:szCs w:val="16"/>
        </w:rPr>
        <w:t xml:space="preserve">  https://app.leg.wa.gov/rcw/default.aspx?cite=35.21.088</w:t>
      </w:r>
    </w:p>
    <w:p>
      <w:pPr>
        <w:pStyle w:val="ListParagraph"/>
        <w:numPr>
          <w:ilvl w:val="0"/>
          <w:numId w:val="1"/>
        </w:numPr>
        <w:spacing w:after="80"/>
      </w:pPr>
      <w:r>
        <w:rPr>
          <w:sz w:val="20"/>
          <w:szCs w:val="20"/>
        </w:rPr>
        <w:t xml:space="preserve">MRSC — Fund balance and reserve policies. Local-government advisory nonprofit restating a GFOA best practice: at least 60 days (about 16.5–16.7%) of operating expenditures for the general fund and 45 days (about 12.3%) for enterprise funds. It gives no figure at all for internal service funds. Directional, and the 45-day figure is not an ISF target.</w:t>
      </w:r>
      <w:r>
        <w:rPr>
          <w:i/>
          <w:iCs/>
          <w:sz w:val="20"/>
          <w:szCs w:val="20"/>
        </w:rPr>
        <w:t xml:space="preserve"> — directional</w:t>
      </w:r>
      <w:r>
        <w:rPr>
          <w:color w:val="6B7280"/>
          <w:sz w:val="16"/>
          <w:szCs w:val="16"/>
        </w:rPr>
        <w:t xml:space="preserve">  https://mrsc.org/explore-topics/finance/policies/fund-balance-reserves</w:t>
      </w:r>
    </w:p>
    <w:p>
      <w:pPr>
        <w:pStyle w:val="ListParagraph"/>
        <w:numPr>
          <w:ilvl w:val="0"/>
          <w:numId w:val="1"/>
        </w:numPr>
        <w:spacing w:after="80"/>
      </w:pPr>
      <w:r>
        <w:rPr>
          <w:sz w:val="20"/>
          <w:szCs w:val="20"/>
        </w:rPr>
        <w:t xml:space="preserve">GFOA — Internal service fund rate development and billing for fleet management (the guide’s citation). The material itself is behind a GFOA member login and was not readable when this template was built, so no constant, default or threshold anywhere in this kit comes from it.</w:t>
      </w:r>
      <w:r>
        <w:rPr>
          <w:i/>
          <w:iCs/>
          <w:sz w:val="20"/>
          <w:szCs w:val="20"/>
        </w:rPr>
        <w:t xml:space="preserve"> — primary source</w:t>
      </w:r>
      <w:r>
        <w:rPr>
          <w:color w:val="6B7280"/>
          <w:sz w:val="16"/>
          <w:szCs w:val="16"/>
        </w:rPr>
        <w:t xml:space="preserve">  https://www.gfoa.org/materials/internal-service-fund-rate-development-and-billing</w:t>
      </w:r>
    </w:p>
    <w:p>
      <w:pPr>
        <w:pStyle w:val="ListParagraph"/>
        <w:numPr>
          <w:ilvl w:val="0"/>
          <w:numId w:val="1"/>
        </w:numPr>
        <w:spacing w:after="80"/>
      </w:pPr>
      <w:r>
        <w:rPr>
          <w:sz w:val="20"/>
          <w:szCs w:val="20"/>
        </w:rPr>
        <w:t xml:space="preserve">RTA — Why government fleets should move to an internal service fund model (the guide’s citation) — vendor-published, directional. Supplies no figure used here.</w:t>
      </w:r>
      <w:r>
        <w:rPr>
          <w:i/>
          <w:iCs/>
          <w:sz w:val="20"/>
          <w:szCs w:val="20"/>
        </w:rPr>
        <w:t xml:space="preserve"> — directional</w:t>
      </w:r>
      <w:r>
        <w:rPr>
          <w:color w:val="6B7280"/>
          <w:sz w:val="16"/>
          <w:szCs w:val="16"/>
        </w:rPr>
        <w:t xml:space="preserve">  https://rtafleet.com/blog/why-government-fleets-should-move-to-an-internal-service-fund-model-and-how-to-start</w:t>
      </w:r>
    </w:p>
    <w:p>
      <w:pPr>
        <w:spacing w:after="120"/>
      </w:pPr>
      <w:r>
        <w:rPr>
          <w:i/>
          <w:iCs/>
          <w:sz w:val="18"/>
          <w:szCs w:val="18"/>
        </w:rPr>
        <w:t xml:space="preserve">Method: the structure of this plan follows the guide, not a standard. The accounting citations are to the GASB Codification, by paragraph. The readiness bands in section 2 and the working capital default in the workbook are editorial and are stated as such where they appear — no published working-capital target specific to internal service funds was found, and the nearest anchor cited is a 45-day figure for enterprise funds, which is a different fund type.</w:t>
      </w:r>
    </w:p>
    <w:p>
      <w:pPr>
        <w:pBdr>
          <w:top w:val="single" w:color="D0D7DC" w:sz="4"/>
        </w:pBdr>
        <w:spacing w:after="120" w:before="420"/>
      </w:pPr>
      <w:r>
        <w:t xml:space="preserve"/>
      </w:r>
    </w:p>
    <w:p>
      <w:pPr>
        <w:spacing w:after="40"/>
      </w:pPr>
      <w:r>
        <w:rPr>
          <w:color w:val="6B7280"/>
          <w:sz w:val="16"/>
          <w:szCs w:val="16"/>
        </w:rPr>
        <w:t xml:space="preserve">Published by Fleet Desk — https://fleetdesk.axionfleetai.com</w:t>
      </w:r>
    </w:p>
    <w:p>
      <w:pPr>
        <w:spacing w:after="40"/>
      </w:pPr>
      <w:r>
        <w:rPr>
          <w:color w:val="6B7280"/>
          <w:sz w:val="16"/>
          <w:szCs w:val="16"/>
        </w:rPr>
        <w:t xml:space="preserve">Free to use, adapt and distribute, including commercially. No attribution required.</w:t>
      </w:r>
    </w:p>
    <w:p>
      <w:pPr>
        <w:spacing w:after="40"/>
      </w:pPr>
      <w:r>
        <w:rPr>
          <w:color w:val="6B7280"/>
          <w:sz w:val="16"/>
          <w:szCs w:val="16"/>
        </w:rPr>
        <w:t xml:space="preserve">Sponsored by Axion (axionfleetai.com), which had no editorial control over this template.</w:t>
      </w:r>
    </w:p>
    <w:sectPr>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3414B"/>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120" w:before="280"/>
    </w:pPr>
    <w:rPr>
      <w:rFonts w:ascii="Calibri" w:cs="Calibri" w:eastAsia="Calibri" w:hAnsi="Calibri"/>
      <w:b/>
      <w:bCs/>
      <w:color w:val="23414B"/>
      <w:sz w:val="30"/>
      <w:szCs w:val="30"/>
    </w:rPr>
  </w:style>
  <w:style w:type="paragraph" w:styleId="Heading2">
    <w:name w:val="Heading 2"/>
    <w:basedOn w:val="Normal"/>
    <w:next w:val="Normal"/>
    <w:qFormat/>
    <w:pPr>
      <w:spacing w:after="100" w:before="220"/>
    </w:pPr>
    <w:rPr>
      <w:rFonts w:ascii="Calibri" w:cs="Calibri" w:eastAsia="Calibri" w:hAnsi="Calibri"/>
      <w:b/>
      <w:bCs/>
      <w:color w:val="23414B"/>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Internal service fund conversion kit</dc:title>
  <dc:creator>Fleet Desk</dc:creator>
  <dc:description>Internal service fund conversion kit — version 1.0</dc:description>
  <cp:lastModifiedBy>Un-named</cp:lastModifiedBy>
  <cp:revision>1</cp:revision>
  <dcterms:created xsi:type="dcterms:W3CDTF">2026-08-04T13:54:04.494Z</dcterms:created>
  <dcterms:modified xsi:type="dcterms:W3CDTF">2026-08-04T13:54:04.494Z</dcterms:modified>
</cp:coreProperties>
</file>

<file path=docProps/custom.xml><?xml version="1.0" encoding="utf-8"?>
<Properties xmlns="http://schemas.openxmlformats.org/officeDocument/2006/custom-properties" xmlns:vt="http://schemas.openxmlformats.org/officeDocument/2006/docPropsVTypes"/>
</file>