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before="0"/>
      </w:pPr>
      <w:r>
        <w:rPr>
          <w:b/>
          <w:bCs/>
          <w:color w:val="B4531A"/>
        </w:rPr>
        <w:t xml:space="preserve">[AGENCY NAME]</w:t>
      </w:r>
      <w:r>
        <w:t xml:space="preserve"> — Vehicle and equipment replacement request</w:t>
      </w:r>
    </w:p>
    <w:p>
      <w:pPr>
        <w:spacing w:after="60"/>
      </w:pPr>
      <w:r>
        <w:t xml:space="preserve">Fiscal year </w:t>
      </w:r>
      <w:r>
        <w:rPr>
          <w:b/>
          <w:bCs/>
          <w:color w:val="B4531A"/>
        </w:rPr>
        <w:t xml:space="preserve">[FY]</w:t>
      </w:r>
      <w:r>
        <w:t xml:space="preserve">    Prepared by </w:t>
      </w:r>
      <w:r>
        <w:rPr>
          <w:b/>
          <w:bCs/>
          <w:color w:val="B4531A"/>
        </w:rPr>
        <w:t xml:space="preserve">[NAME, TITLE]</w:t>
      </w:r>
      <w:r>
        <w:t xml:space="preserve">    Date </w:t>
      </w:r>
      <w:r>
        <w:rPr>
          <w:b/>
          <w:bCs/>
          <w:color w:val="B4531A"/>
        </w:rPr>
        <w:t xml:space="preserve">[DATE]</w:t>
      </w:r>
    </w:p>
    <w:p>
      <w:pPr>
        <w:spacing w:after="240"/>
      </w:pPr>
      <w:r>
        <w:t xml:space="preserve">For: </w:t>
      </w:r>
      <w:r>
        <w:rPr>
          <w:b/>
          <w:bCs/>
          <w:color w:val="B4531A"/>
        </w:rPr>
        <w:t xml:space="preserve">[COUNCIL / BOARD]</w:t>
      </w:r>
      <w:r>
        <w:t xml:space="preserve">    Meeting date </w:t>
      </w:r>
      <w:r>
        <w:rPr>
          <w:b/>
          <w:bCs/>
          <w:color w:val="B4531A"/>
        </w:rPr>
        <w:t xml:space="preserve">[DATE]</w:t>
      </w:r>
      <w:r>
        <w:t xml:space="preserve">    Total requested </w:t>
      </w:r>
      <w:r>
        <w:rPr>
          <w:b/>
          <w:bCs/>
          <w:color w:val="B4531A"/>
        </w:rPr>
        <w:t xml:space="preserve">[$]</w:t>
      </w:r>
    </w:p>
    <w:p>
      <w:pPr>
        <w:pStyle w:val="Heading1"/>
        <w:spacing w:after="120" w:before="260"/>
      </w:pPr>
      <w:r>
        <w:t xml:space="preserve">1. The ask</w:t>
      </w:r>
    </w:p>
    <w:tbl>
      <w:tblPr>
        <w:tblW w:type="pct" w:w="100%"/>
        <w:tblBorders>
          <w:top w:val="single" w:color="B4531A" w:sz="6"/>
          <w:left w:val="single" w:color="B4531A" w:sz="6"/>
          <w:bottom w:val="single" w:color="B4531A" w:sz="6"/>
          <w:right w:val="single" w:color="B4531A" w:sz="6"/>
          <w:insideH w:val="none" w:color="FFFFFF" w:sz="0"/>
          <w:insideV w:val="none" w:color="FFFFFF" w:sz="0"/>
        </w:tblBorders>
      </w:tblPr>
      <w:tblGrid>
        <w:gridCol w:w="100"/>
      </w:tblGrid>
      <w:tr>
        <w:tc>
          <w:tcPr>
            <w:shd w:fill="FDF6EC" w:color="FDF6EC" w:val="solid"/>
            <w:tcMar>
              <w:top w:type="dxa" w:w="120"/>
              <w:left w:type="dxa" w:w="160"/>
              <w:bottom w:type="dxa" w:w="120"/>
              <w:right w:type="dxa" w:w="160"/>
            </w:tcMar>
          </w:tcPr>
          <w:p>
            <w:pPr>
              <w:spacing w:after="80"/>
            </w:pPr>
            <w:r>
              <w:rPr>
                <w:b/>
                <w:bCs/>
                <w:sz w:val="18"/>
                <w:szCs w:val="18"/>
              </w:rPr>
              <w:t xml:space="preserve">Delete this box before circulating.</w:t>
            </w:r>
          </w:p>
          <w:p>
            <w:pPr>
              <w:spacing w:after="50"/>
            </w:pPr>
            <w:r>
              <w:rPr>
                <w:sz w:val="18"/>
                <w:szCs w:val="18"/>
              </w:rPr>
              <w:t xml:space="preserve">Lead with the consequence, not the condition. "A 2013 unit with 187,000 miles" is an observation, and the natural response to an observation is "can it last another year?"</w:t>
            </w:r>
          </w:p>
          <w:p>
            <w:pPr>
              <w:spacing w:after="50"/>
            </w:pPr>
            <w:r>
              <w:rPr>
                <w:sz w:val="18"/>
                <w:szCs w:val="18"/>
              </w:rPr>
              <w:t xml:space="preserve">Three sentences. What the request buys or prevents, what already happened, what this request covers. Then stop.</w:t>
            </w:r>
          </w:p>
          <w:p>
            <w:pPr>
              <w:spacing w:after="50"/>
            </w:pPr>
            <w:r>
              <w:rPr>
                <w:sz w:val="18"/>
                <w:szCs w:val="18"/>
              </w:rPr>
              <w:t xml:space="preserve">Officials are deciding whether approving this makes them look prudent and whether declining it makes them look negligent. Write to that question.</w:t>
            </w:r>
          </w:p>
          <w:p>
            <w:pPr>
              <w:spacing w:after="50"/>
            </w:pPr>
            <w:r>
              <w:rPr>
                <w:sz w:val="18"/>
                <w:szCs w:val="18"/>
              </w:rPr>
              <w:t xml:space="preserve">Model paragraph — the tone to aim for, not your text. It goes when this box goes:</w:t>
            </w:r>
          </w:p>
          <w:p>
            <w:pPr>
              <w:spacing w:after="50"/>
            </w:pPr>
            <w:r>
              <w:rPr>
                <w:sz w:val="18"/>
                <w:szCs w:val="18"/>
              </w:rPr>
              <w:t xml:space="preserve">"Three of the four plow trucks assigned to the north routes are past their replacement cycle. Last winter we lost two of them mid-storm and ran the routes with borrowed equipment. This request replaces two of the three."</w:t>
            </w:r>
          </w:p>
        </w:tc>
      </w:tr>
    </w:tbl>
    <w:p>
      <w:pPr>
        <w:spacing w:after="120"/>
      </w:pPr>
      <w:r>
        <w:t xml:space="preserve"/>
      </w:r>
    </w:p>
    <w:p>
      <w:pPr>
        <w:spacing w:after="140"/>
      </w:pPr>
      <w:r>
        <w:t xml:space="preserve">Your three sentences:</w:t>
      </w:r>
      <w:r>
        <w:rPr>
          <w:b/>
          <w:bCs/>
          <w:color w:val="B4531A"/>
        </w:rPr>
        <w:t xml:space="preserve"> ______________________________</w:t>
      </w:r>
    </w:p>
    <w:p>
      <w:pPr>
        <w:spacing w:after="140"/>
      </w:pPr>
      <w:r>
        <w:t xml:space="preserve"/>
      </w:r>
      <w:r>
        <w:rPr>
          <w:b/>
          <w:bCs/>
          <w:color w:val="B4531A"/>
        </w:rPr>
        <w:t xml:space="preserve"> ______________________________</w:t>
      </w:r>
    </w:p>
    <w:p>
      <w:pPr>
        <w:spacing w:after="140"/>
      </w:pPr>
      <w:r>
        <w:t xml:space="preserve"/>
      </w:r>
      <w:r>
        <w:rPr>
          <w:b/>
          <w:bCs/>
          <w:color w:val="B4531A"/>
        </w:rPr>
        <w:t xml:space="preserve"> ______________________________</w:t>
      </w:r>
    </w:p>
    <w:p>
      <w:pPr>
        <w:pStyle w:val="Heading1"/>
        <w:spacing w:after="120" w:before="260"/>
      </w:pPr>
      <w:r>
        <w:t xml:space="preserve">2. The four numbers</w:t>
      </w:r>
    </w:p>
    <w:p>
      <w:pPr>
        <w:spacing w:after="140"/>
      </w:pPr>
      <w:r>
        <w:t xml:space="preserve">Every figure below will be asked about, so every figure has a source line. If a source line is empty at the meeting, the number is not ready to be used.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shd w:fill="EDF2F5" w:color="EDF2F5" w:val="solid"/>
            <w:tcMar>
              <w:top w:type="dxa" w:w="80"/>
              <w:left w:type="dxa" w:w="120"/>
              <w:bottom w:type="dxa" w:w="80"/>
              <w:right w:type="dxa" w:w="120"/>
            </w:tcMar>
          </w:tcPr>
          <w:p>
            <w:r>
              <w:rPr>
                <w:b/>
                <w:bCs/>
                <w:sz w:val="20"/>
                <w:szCs w:val="20"/>
              </w:rPr>
              <w:t xml:space="preserve">Number</w:t>
            </w:r>
          </w:p>
        </w:tc>
        <w:tc>
          <w:tcPr>
            <w:shd w:fill="EDF2F5" w:color="EDF2F5" w:val="solid"/>
            <w:tcMar>
              <w:top w:type="dxa" w:w="80"/>
              <w:left w:type="dxa" w:w="120"/>
              <w:bottom w:type="dxa" w:w="80"/>
              <w:right w:type="dxa" w:w="120"/>
            </w:tcMar>
          </w:tcPr>
          <w:p>
            <w:r>
              <w:rPr>
                <w:b/>
                <w:bCs/>
                <w:sz w:val="20"/>
                <w:szCs w:val="20"/>
              </w:rPr>
              <w:t xml:space="preserve">Figure</w:t>
            </w:r>
          </w:p>
        </w:tc>
        <w:tc>
          <w:tcPr>
            <w:shd w:fill="EDF2F5" w:color="EDF2F5" w:val="solid"/>
            <w:tcMar>
              <w:top w:type="dxa" w:w="80"/>
              <w:left w:type="dxa" w:w="120"/>
              <w:bottom w:type="dxa" w:w="80"/>
              <w:right w:type="dxa" w:w="120"/>
            </w:tcMar>
          </w:tcPr>
          <w:p>
            <w:r>
              <w:rPr>
                <w:b/>
                <w:bCs/>
                <w:sz w:val="20"/>
                <w:szCs w:val="20"/>
              </w:rPr>
              <w:t xml:space="preserve">Source of this figure</w:t>
            </w:r>
          </w:p>
        </w:tc>
      </w:tr>
      <w:tr>
        <w:trPr>
          <w:tblHeader w:val="false"/>
        </w:trPr>
        <w:tc>
          <w:tcPr>
            <w:tcMar>
              <w:top w:type="dxa" w:w="80"/>
              <w:left w:type="dxa" w:w="120"/>
              <w:bottom w:type="dxa" w:w="80"/>
              <w:right w:type="dxa" w:w="120"/>
            </w:tcMar>
          </w:tcPr>
          <w:p>
            <w:r>
              <w:rPr>
                <w:b w:val="false"/>
                <w:bCs w:val="false"/>
                <w:sz w:val="20"/>
                <w:szCs w:val="20"/>
              </w:rPr>
              <w:t xml:space="preserve">Cost of deferral — trailing 24-month repair spend on these specific units, plus purchase-price escalation for each year of delay</w:t>
            </w:r>
          </w:p>
        </w:tc>
        <w:tc>
          <w:tcPr>
            <w:tcMar>
              <w:top w:type="dxa" w:w="80"/>
              <w:left w:type="dxa" w:w="120"/>
              <w:bottom w:type="dxa" w:w="80"/>
              <w:right w:type="dxa" w:w="120"/>
            </w:tcMar>
          </w:tcPr>
          <w:p>
            <w:r>
              <w:rPr>
                <w:b/>
                <w:bCs/>
                <w:color w:val="B4531A"/>
                <w:sz w:val="20"/>
                <w:szCs w:val="20"/>
              </w:rPr>
              <w:t xml:space="preserve">[$]</w:t>
            </w:r>
            <w:r>
              <w:rPr>
                <w:b w:val="false"/>
                <w:bCs w:val="false"/>
                <w:sz w:val="20"/>
                <w:szCs w:val="20"/>
              </w:rPr>
              <w:t xml:space="preserve"> repair + </w:t>
            </w:r>
            <w:r>
              <w:rPr>
                <w:b/>
                <w:bCs/>
                <w:color w:val="B4531A"/>
                <w:sz w:val="20"/>
                <w:szCs w:val="20"/>
              </w:rPr>
              <w:t xml:space="preserve">[$]</w:t>
            </w:r>
            <w:r>
              <w:rPr>
                <w:b w:val="false"/>
                <w:bCs w:val="false"/>
                <w:sz w:val="20"/>
                <w:szCs w:val="20"/>
              </w:rPr>
              <w:t xml:space="preserve"> escalation per year</w:t>
            </w:r>
          </w:p>
        </w:tc>
        <w:tc>
          <w:tcPr>
            <w:tcMar>
              <w:top w:type="dxa" w:w="80"/>
              <w:left w:type="dxa" w:w="120"/>
              <w:bottom w:type="dxa" w:w="80"/>
              <w:right w:type="dxa" w:w="120"/>
            </w:tcMar>
          </w:tcPr>
          <w:p>
            <w:r>
              <w:rPr>
                <w:b/>
                <w:bCs/>
                <w:color w:val="B4531A"/>
                <w:sz w:val="20"/>
                <w:szCs w:val="20"/>
              </w:rPr>
              <w:t xml:space="preserve">[work order history, date range]</w:t>
            </w:r>
            <w:r>
              <w:rPr>
                <w:b w:val="false"/>
                <w:bCs w:val="false"/>
                <w:sz w:val="20"/>
                <w:szCs w:val="20"/>
              </w:rPr>
              <w:t xml:space="preserve"> / </w:t>
            </w:r>
            <w:r>
              <w:rPr>
                <w:b/>
                <w:bCs/>
                <w:color w:val="B4531A"/>
                <w:sz w:val="20"/>
                <w:szCs w:val="20"/>
              </w:rPr>
              <w:t xml:space="preserve">[escalation basis]</w:t>
            </w:r>
          </w:p>
        </w:tc>
      </w:tr>
      <w:tr>
        <w:trPr>
          <w:tblHeader w:val="false"/>
        </w:trPr>
        <w:tc>
          <w:tcPr>
            <w:tcMar>
              <w:top w:type="dxa" w:w="80"/>
              <w:left w:type="dxa" w:w="120"/>
              <w:bottom w:type="dxa" w:w="80"/>
              <w:right w:type="dxa" w:w="120"/>
            </w:tcMar>
          </w:tcPr>
          <w:p>
            <w:r>
              <w:rPr>
                <w:b w:val="false"/>
                <w:bCs w:val="false"/>
                <w:sz w:val="20"/>
                <w:szCs w:val="20"/>
              </w:rPr>
              <w:t xml:space="preserve">Cost of the alternative — rental during downtime, contracted service, mutual aid. If there is no alternative for a specialised unit, say so plainly: it is the strongest thing you can say</w:t>
            </w:r>
          </w:p>
        </w:tc>
        <w:tc>
          <w:tcPr>
            <w:tcMar>
              <w:top w:type="dxa" w:w="80"/>
              <w:left w:type="dxa" w:w="120"/>
              <w:bottom w:type="dxa" w:w="80"/>
              <w:right w:type="dxa" w:w="120"/>
            </w:tcMar>
          </w:tcPr>
          <w:p>
            <w:r>
              <w:rPr>
                <w:b/>
                <w:bCs/>
                <w:color w:val="B4531A"/>
                <w:sz w:val="20"/>
                <w:szCs w:val="20"/>
              </w:rPr>
              <w:t xml:space="preserve">[$]</w:t>
            </w:r>
            <w:r>
              <w:rPr>
                <w:b w:val="false"/>
                <w:bCs w:val="false"/>
                <w:sz w:val="20"/>
                <w:szCs w:val="20"/>
              </w:rPr>
              <w:t xml:space="preserve"> or "no alternative"</w:t>
            </w:r>
          </w:p>
        </w:tc>
        <w:tc>
          <w:tcPr>
            <w:tcMar>
              <w:top w:type="dxa" w:w="80"/>
              <w:left w:type="dxa" w:w="120"/>
              <w:bottom w:type="dxa" w:w="80"/>
              <w:right w:type="dxa" w:w="120"/>
            </w:tcMar>
          </w:tcPr>
          <w:p>
            <w:r>
              <w:rPr>
                <w:b/>
                <w:bCs/>
                <w:color w:val="B4531A"/>
                <w:sz w:val="20"/>
                <w:szCs w:val="20"/>
              </w:rPr>
              <w:t xml:space="preserve">[quote, contract, or rate schedule]</w:t>
            </w:r>
          </w:p>
        </w:tc>
      </w:tr>
      <w:tr>
        <w:trPr>
          <w:tblHeader w:val="false"/>
        </w:trPr>
        <w:tc>
          <w:tcPr>
            <w:tcMar>
              <w:top w:type="dxa" w:w="80"/>
              <w:left w:type="dxa" w:w="120"/>
              <w:bottom w:type="dxa" w:w="80"/>
              <w:right w:type="dxa" w:w="120"/>
            </w:tcMar>
          </w:tcPr>
          <w:p>
            <w:r>
              <w:rPr>
                <w:b w:val="false"/>
                <w:bCs w:val="false"/>
                <w:sz w:val="20"/>
                <w:szCs w:val="20"/>
              </w:rPr>
              <w:t xml:space="preserve">Procurement lead time — order to in-service, for this class of unit</w:t>
            </w:r>
          </w:p>
        </w:tc>
        <w:tc>
          <w:tcPr>
            <w:tcMar>
              <w:top w:type="dxa" w:w="80"/>
              <w:left w:type="dxa" w:w="120"/>
              <w:bottom w:type="dxa" w:w="80"/>
              <w:right w:type="dxa" w:w="120"/>
            </w:tcMar>
          </w:tcPr>
          <w:p>
            <w:r>
              <w:rPr>
                <w:b/>
                <w:bCs/>
                <w:color w:val="B4531A"/>
                <w:sz w:val="20"/>
                <w:szCs w:val="20"/>
              </w:rPr>
              <w:t xml:space="preserve">[months]</w:t>
            </w:r>
          </w:p>
        </w:tc>
        <w:tc>
          <w:tcPr>
            <w:tcMar>
              <w:top w:type="dxa" w:w="80"/>
              <w:left w:type="dxa" w:w="120"/>
              <w:bottom w:type="dxa" w:w="80"/>
              <w:right w:type="dxa" w:w="120"/>
            </w:tcMar>
          </w:tcPr>
          <w:p>
            <w:r>
              <w:rPr>
                <w:b/>
                <w:bCs/>
                <w:color w:val="B4531A"/>
                <w:sz w:val="20"/>
                <w:szCs w:val="20"/>
              </w:rPr>
              <w:t xml:space="preserve">[dealer / co-op contract / last comparable order]</w:t>
            </w:r>
          </w:p>
        </w:tc>
      </w:tr>
      <w:tr>
        <w:trPr>
          <w:tblHeader w:val="false"/>
        </w:trPr>
        <w:tc>
          <w:tcPr>
            <w:tcMar>
              <w:top w:type="dxa" w:w="80"/>
              <w:left w:type="dxa" w:w="120"/>
              <w:bottom w:type="dxa" w:w="80"/>
              <w:right w:type="dxa" w:w="120"/>
            </w:tcMar>
          </w:tcPr>
          <w:p>
            <w:r>
              <w:rPr>
                <w:b w:val="false"/>
                <w:bCs w:val="false"/>
                <w:sz w:val="20"/>
                <w:szCs w:val="20"/>
              </w:rPr>
              <w:t xml:space="preserve">What was already deferred — units on a prior year list that were not funded, and what has happened to them since</w:t>
            </w:r>
          </w:p>
        </w:tc>
        <w:tc>
          <w:tcPr>
            <w:tcMar>
              <w:top w:type="dxa" w:w="80"/>
              <w:left w:type="dxa" w:w="120"/>
              <w:bottom w:type="dxa" w:w="80"/>
              <w:right w:type="dxa" w:w="120"/>
            </w:tcMar>
          </w:tcPr>
          <w:p>
            <w:r>
              <w:rPr>
                <w:b/>
                <w:bCs/>
                <w:color w:val="B4531A"/>
                <w:sz w:val="20"/>
                <w:szCs w:val="20"/>
              </w:rPr>
              <w:t xml:space="preserve">[units]</w:t>
            </w:r>
            <w:r>
              <w:rPr>
                <w:b w:val="false"/>
                <w:bCs w:val="false"/>
                <w:sz w:val="20"/>
                <w:szCs w:val="20"/>
              </w:rPr>
              <w:t xml:space="preserve">, </w:t>
            </w:r>
            <w:r>
              <w:rPr>
                <w:b/>
                <w:bCs/>
                <w:color w:val="B4531A"/>
                <w:sz w:val="20"/>
                <w:szCs w:val="20"/>
              </w:rPr>
              <w:t xml:space="preserve">[FY deferred]</w:t>
            </w:r>
          </w:p>
        </w:tc>
        <w:tc>
          <w:tcPr>
            <w:tcMar>
              <w:top w:type="dxa" w:w="80"/>
              <w:left w:type="dxa" w:w="120"/>
              <w:bottom w:type="dxa" w:w="80"/>
              <w:right w:type="dxa" w:w="120"/>
            </w:tcMar>
          </w:tcPr>
          <w:p>
            <w:r>
              <w:rPr>
                <w:b/>
                <w:bCs/>
                <w:color w:val="B4531A"/>
                <w:sz w:val="20"/>
                <w:szCs w:val="20"/>
              </w:rPr>
              <w:t xml:space="preserve">[prior year request, adopted budget]</w:t>
            </w:r>
          </w:p>
        </w:tc>
      </w:tr>
    </w:tbl>
    <w:p>
      <w:pPr>
        <w:spacing w:after="120"/>
      </w:pPr>
      <w:r>
        <w:t xml:space="preserve"/>
      </w:r>
    </w:p>
    <w:tbl>
      <w:tblPr>
        <w:tblW w:type="pct" w:w="100%"/>
        <w:tblBorders>
          <w:top w:val="single" w:color="B4531A" w:sz="6"/>
          <w:left w:val="single" w:color="B4531A" w:sz="6"/>
          <w:bottom w:val="single" w:color="B4531A" w:sz="6"/>
          <w:right w:val="single" w:color="B4531A" w:sz="6"/>
          <w:insideH w:val="none" w:color="FFFFFF" w:sz="0"/>
          <w:insideV w:val="none" w:color="FFFFFF" w:sz="0"/>
        </w:tblBorders>
      </w:tblPr>
      <w:tblGrid>
        <w:gridCol w:w="100"/>
      </w:tblGrid>
      <w:tr>
        <w:tc>
          <w:tcPr>
            <w:shd w:fill="FDF6EC" w:color="FDF6EC" w:val="solid"/>
            <w:tcMar>
              <w:top w:type="dxa" w:w="120"/>
              <w:left w:type="dxa" w:w="160"/>
              <w:bottom w:type="dxa" w:w="120"/>
              <w:right w:type="dxa" w:w="160"/>
            </w:tcMar>
          </w:tcPr>
          <w:p>
            <w:pPr>
              <w:spacing w:after="80"/>
            </w:pPr>
            <w:r>
              <w:rPr>
                <w:b/>
                <w:bCs/>
                <w:sz w:val="18"/>
                <w:szCs w:val="18"/>
              </w:rPr>
              <w:t xml:space="preserve">Delete this box before circulating.</w:t>
            </w:r>
          </w:p>
          <w:p>
            <w:pPr>
              <w:spacing w:after="50"/>
            </w:pPr>
            <w:r>
              <w:rPr>
                <w:sz w:val="18"/>
                <w:szCs w:val="18"/>
              </w:rPr>
              <w:t xml:space="preserve">Lead time is the number officials most often do not know, and it is the one that converts "let us revisit next year" from a safe choice into a costly one. Say it out loud even if it is in the packet.</w:t>
            </w:r>
          </w:p>
          <w:p>
            <w:pPr>
              <w:spacing w:after="50"/>
            </w:pPr>
            <w:r>
              <w:rPr>
                <w:sz w:val="18"/>
                <w:szCs w:val="18"/>
              </w:rPr>
              <w:t xml:space="preserve">A pattern of deferral is the most persuasive fact you have, and it is not an accusation. It is the reason the request is now urgent.</w:t>
            </w:r>
          </w:p>
        </w:tc>
      </w:tr>
    </w:tbl>
    <w:p>
      <w:pPr>
        <w:pStyle w:val="Heading1"/>
        <w:spacing w:after="120" w:before="260"/>
      </w:pPr>
      <w:r>
        <w:t xml:space="preserve">3. Tiered request</w:t>
      </w:r>
    </w:p>
    <w:p>
      <w:pPr>
        <w:spacing w:after="140"/>
      </w:pPr>
      <w:r>
        <w:t xml:space="preserve">This request is structured so it can be partially approved. A single all-or-nothing figure invites a counter-offer that has not been planned for; tiers mean the conversation is about which tier gets cut.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shd w:fill="EDF2F5" w:color="EDF2F5" w:val="solid"/>
            <w:tcMar>
              <w:top w:type="dxa" w:w="80"/>
              <w:left w:type="dxa" w:w="120"/>
              <w:bottom w:type="dxa" w:w="80"/>
              <w:right w:type="dxa" w:w="120"/>
            </w:tcMar>
          </w:tcPr>
          <w:p>
            <w:r>
              <w:rPr>
                <w:b/>
                <w:bCs/>
                <w:sz w:val="20"/>
                <w:szCs w:val="20"/>
              </w:rPr>
              <w:t xml:space="preserve">Tier</w:t>
            </w:r>
          </w:p>
        </w:tc>
        <w:tc>
          <w:tcPr>
            <w:shd w:fill="EDF2F5" w:color="EDF2F5" w:val="solid"/>
            <w:tcMar>
              <w:top w:type="dxa" w:w="80"/>
              <w:left w:type="dxa" w:w="120"/>
              <w:bottom w:type="dxa" w:w="80"/>
              <w:right w:type="dxa" w:w="120"/>
            </w:tcMar>
          </w:tcPr>
          <w:p>
            <w:r>
              <w:rPr>
                <w:b/>
                <w:bCs/>
                <w:sz w:val="20"/>
                <w:szCs w:val="20"/>
              </w:rPr>
              <w:t xml:space="preserve">Contents</w:t>
            </w:r>
          </w:p>
        </w:tc>
        <w:tc>
          <w:tcPr>
            <w:shd w:fill="EDF2F5" w:color="EDF2F5" w:val="solid"/>
            <w:tcMar>
              <w:top w:type="dxa" w:w="80"/>
              <w:left w:type="dxa" w:w="120"/>
              <w:bottom w:type="dxa" w:w="80"/>
              <w:right w:type="dxa" w:w="120"/>
            </w:tcMar>
          </w:tcPr>
          <w:p>
            <w:r>
              <w:rPr>
                <w:b/>
                <w:bCs/>
                <w:sz w:val="20"/>
                <w:szCs w:val="20"/>
              </w:rPr>
              <w:t xml:space="preserve">Amount</w:t>
            </w:r>
          </w:p>
        </w:tc>
        <w:tc>
          <w:tcPr>
            <w:shd w:fill="EDF2F5" w:color="EDF2F5" w:val="solid"/>
            <w:tcMar>
              <w:top w:type="dxa" w:w="80"/>
              <w:left w:type="dxa" w:w="120"/>
              <w:bottom w:type="dxa" w:w="80"/>
              <w:right w:type="dxa" w:w="120"/>
            </w:tcMar>
          </w:tcPr>
          <w:p>
            <w:r>
              <w:rPr>
                <w:b/>
                <w:bCs/>
                <w:sz w:val="20"/>
                <w:szCs w:val="20"/>
              </w:rPr>
              <w:t xml:space="preserve">If declined</w:t>
            </w:r>
          </w:p>
        </w:tc>
      </w:tr>
      <w:tr>
        <w:trPr>
          <w:tblHeader w:val="false"/>
        </w:trPr>
        <w:tc>
          <w:tcPr>
            <w:tcMar>
              <w:top w:type="dxa" w:w="80"/>
              <w:left w:type="dxa" w:w="120"/>
              <w:bottom w:type="dxa" w:w="80"/>
              <w:right w:type="dxa" w:w="120"/>
            </w:tcMar>
          </w:tcPr>
          <w:p>
            <w:r>
              <w:rPr>
                <w:b w:val="false"/>
                <w:bCs w:val="false"/>
                <w:sz w:val="20"/>
                <w:szCs w:val="20"/>
              </w:rPr>
              <w:t xml:space="preserve">Critical</w:t>
            </w:r>
          </w:p>
        </w:tc>
        <w:tc>
          <w:tcPr>
            <w:tcMar>
              <w:top w:type="dxa" w:w="80"/>
              <w:left w:type="dxa" w:w="120"/>
              <w:bottom w:type="dxa" w:w="80"/>
              <w:right w:type="dxa" w:w="120"/>
            </w:tcMar>
          </w:tcPr>
          <w:p>
            <w:r>
              <w:rPr>
                <w:b w:val="false"/>
                <w:bCs w:val="false"/>
                <w:sz w:val="20"/>
                <w:szCs w:val="20"/>
              </w:rPr>
              <w:t xml:space="preserve">Units with safety-relevant defects or no operational alternative — </w:t>
            </w:r>
            <w:r>
              <w:rPr>
                <w:b/>
                <w:bCs/>
                <w:color w:val="B4531A"/>
                <w:sz w:val="20"/>
                <w:szCs w:val="20"/>
              </w:rPr>
              <w:t xml:space="preserve">[UNIT NUMBERS]</w:t>
            </w:r>
          </w:p>
        </w:tc>
        <w:tc>
          <w:tcPr>
            <w:tcMar>
              <w:top w:type="dxa" w:w="80"/>
              <w:left w:type="dxa" w:w="120"/>
              <w:bottom w:type="dxa" w:w="80"/>
              <w:right w:type="dxa" w:w="120"/>
            </w:tcMar>
          </w:tcPr>
          <w:p>
            <w:r>
              <w:rPr>
                <w:b/>
                <w:bCs/>
                <w:color w:val="B4531A"/>
                <w:sz w:val="20"/>
                <w:szCs w:val="20"/>
              </w:rPr>
              <w:t xml:space="preserve">[$]</w:t>
            </w:r>
          </w:p>
        </w:tc>
        <w:tc>
          <w:tcPr>
            <w:tcMar>
              <w:top w:type="dxa" w:w="80"/>
              <w:left w:type="dxa" w:w="120"/>
              <w:bottom w:type="dxa" w:w="80"/>
              <w:right w:type="dxa" w:w="120"/>
            </w:tcMar>
          </w:tcPr>
          <w:p>
            <w:r>
              <w:rPr>
                <w:b w:val="false"/>
                <w:bCs w:val="false"/>
                <w:sz w:val="20"/>
                <w:szCs w:val="20"/>
              </w:rPr>
              <w:t xml:space="preserve">Service reduction — name which service, and who notices: </w:t>
            </w:r>
            <w:r>
              <w:rPr>
                <w:b/>
                <w:bCs/>
                <w:color w:val="B4531A"/>
                <w:sz w:val="20"/>
                <w:szCs w:val="20"/>
              </w:rPr>
              <w:t xml:space="preserve">[SERVICE]</w:t>
            </w:r>
          </w:p>
        </w:tc>
      </w:tr>
      <w:tr>
        <w:trPr>
          <w:tblHeader w:val="false"/>
        </w:trPr>
        <w:tc>
          <w:tcPr>
            <w:tcMar>
              <w:top w:type="dxa" w:w="80"/>
              <w:left w:type="dxa" w:w="120"/>
              <w:bottom w:type="dxa" w:w="80"/>
              <w:right w:type="dxa" w:w="120"/>
            </w:tcMar>
          </w:tcPr>
          <w:p>
            <w:r>
              <w:rPr>
                <w:b w:val="false"/>
                <w:bCs w:val="false"/>
                <w:sz w:val="20"/>
                <w:szCs w:val="20"/>
              </w:rPr>
              <w:t xml:space="preserve">Priority</w:t>
            </w:r>
          </w:p>
        </w:tc>
        <w:tc>
          <w:tcPr>
            <w:tcMar>
              <w:top w:type="dxa" w:w="80"/>
              <w:left w:type="dxa" w:w="120"/>
              <w:bottom w:type="dxa" w:w="80"/>
              <w:right w:type="dxa" w:w="120"/>
            </w:tcMar>
          </w:tcPr>
          <w:p>
            <w:r>
              <w:rPr>
                <w:b w:val="false"/>
                <w:bCs w:val="false"/>
                <w:sz w:val="20"/>
                <w:szCs w:val="20"/>
              </w:rPr>
              <w:t xml:space="preserve">Units past replacement cycle with escalating repair cost — </w:t>
            </w:r>
            <w:r>
              <w:rPr>
                <w:b/>
                <w:bCs/>
                <w:color w:val="B4531A"/>
                <w:sz w:val="20"/>
                <w:szCs w:val="20"/>
              </w:rPr>
              <w:t xml:space="preserve">[UNIT NUMBERS]</w:t>
            </w:r>
          </w:p>
        </w:tc>
        <w:tc>
          <w:tcPr>
            <w:tcMar>
              <w:top w:type="dxa" w:w="80"/>
              <w:left w:type="dxa" w:w="120"/>
              <w:bottom w:type="dxa" w:w="80"/>
              <w:right w:type="dxa" w:w="120"/>
            </w:tcMar>
          </w:tcPr>
          <w:p>
            <w:r>
              <w:rPr>
                <w:b/>
                <w:bCs/>
                <w:color w:val="B4531A"/>
                <w:sz w:val="20"/>
                <w:szCs w:val="20"/>
              </w:rPr>
              <w:t xml:space="preserve">[$]</w:t>
            </w:r>
          </w:p>
        </w:tc>
        <w:tc>
          <w:tcPr>
            <w:tcMar>
              <w:top w:type="dxa" w:w="80"/>
              <w:left w:type="dxa" w:w="120"/>
              <w:bottom w:type="dxa" w:w="80"/>
              <w:right w:type="dxa" w:w="120"/>
            </w:tcMar>
          </w:tcPr>
          <w:p>
            <w:r>
              <w:rPr>
                <w:b w:val="false"/>
                <w:bCs w:val="false"/>
                <w:sz w:val="20"/>
                <w:szCs w:val="20"/>
              </w:rPr>
              <w:t xml:space="preserve">Deferral cost quantified per unit: </w:t>
            </w:r>
            <w:r>
              <w:rPr>
                <w:b/>
                <w:bCs/>
                <w:color w:val="B4531A"/>
                <w:sz w:val="20"/>
                <w:szCs w:val="20"/>
              </w:rPr>
              <w:t xml:space="preserve">[$]</w:t>
            </w:r>
            <w:r>
              <w:rPr>
                <w:b w:val="false"/>
                <w:bCs w:val="false"/>
                <w:sz w:val="20"/>
                <w:szCs w:val="20"/>
              </w:rPr>
              <w:t xml:space="preserve"> per unit per year of delay</w:t>
            </w:r>
          </w:p>
        </w:tc>
      </w:tr>
      <w:tr>
        <w:trPr>
          <w:tblHeader w:val="false"/>
        </w:trPr>
        <w:tc>
          <w:tcPr>
            <w:tcMar>
              <w:top w:type="dxa" w:w="80"/>
              <w:left w:type="dxa" w:w="120"/>
              <w:bottom w:type="dxa" w:w="80"/>
              <w:right w:type="dxa" w:w="120"/>
            </w:tcMar>
          </w:tcPr>
          <w:p>
            <w:r>
              <w:rPr>
                <w:b w:val="false"/>
                <w:bCs w:val="false"/>
                <w:sz w:val="20"/>
                <w:szCs w:val="20"/>
              </w:rPr>
              <w:t xml:space="preserve">Planned</w:t>
            </w:r>
          </w:p>
        </w:tc>
        <w:tc>
          <w:tcPr>
            <w:tcMar>
              <w:top w:type="dxa" w:w="80"/>
              <w:left w:type="dxa" w:w="120"/>
              <w:bottom w:type="dxa" w:w="80"/>
              <w:right w:type="dxa" w:w="120"/>
            </w:tcMar>
          </w:tcPr>
          <w:p>
            <w:r>
              <w:rPr>
                <w:b w:val="false"/>
                <w:bCs w:val="false"/>
                <w:sz w:val="20"/>
                <w:szCs w:val="20"/>
              </w:rPr>
              <w:t xml:space="preserve">Units entering the replacement window — </w:t>
            </w:r>
            <w:r>
              <w:rPr>
                <w:b/>
                <w:bCs/>
                <w:color w:val="B4531A"/>
                <w:sz w:val="20"/>
                <w:szCs w:val="20"/>
              </w:rPr>
              <w:t xml:space="preserve">[UNIT NUMBERS]</w:t>
            </w:r>
          </w:p>
        </w:tc>
        <w:tc>
          <w:tcPr>
            <w:tcMar>
              <w:top w:type="dxa" w:w="80"/>
              <w:left w:type="dxa" w:w="120"/>
              <w:bottom w:type="dxa" w:w="80"/>
              <w:right w:type="dxa" w:w="120"/>
            </w:tcMar>
          </w:tcPr>
          <w:p>
            <w:r>
              <w:rPr>
                <w:b/>
                <w:bCs/>
                <w:color w:val="B4531A"/>
                <w:sz w:val="20"/>
                <w:szCs w:val="20"/>
              </w:rPr>
              <w:t xml:space="preserve">[$]</w:t>
            </w:r>
          </w:p>
        </w:tc>
        <w:tc>
          <w:tcPr>
            <w:tcMar>
              <w:top w:type="dxa" w:w="80"/>
              <w:left w:type="dxa" w:w="120"/>
              <w:bottom w:type="dxa" w:w="80"/>
              <w:right w:type="dxa" w:w="120"/>
            </w:tcMar>
          </w:tcPr>
          <w:p>
            <w:r>
              <w:rPr>
                <w:b w:val="false"/>
                <w:bCs w:val="false"/>
                <w:sz w:val="20"/>
                <w:szCs w:val="20"/>
              </w:rPr>
              <w:t xml:space="preserve">Rolls to next year at a higher purchase price: </w:t>
            </w:r>
            <w:r>
              <w:rPr>
                <w:b/>
                <w:bCs/>
                <w:color w:val="B4531A"/>
                <w:sz w:val="20"/>
                <w:szCs w:val="20"/>
              </w:rPr>
              <w:t xml:space="preserve">[$]</w:t>
            </w:r>
            <w:r>
              <w:rPr>
                <w:b w:val="false"/>
                <w:bCs w:val="false"/>
                <w:sz w:val="20"/>
                <w:szCs w:val="20"/>
              </w:rPr>
              <w:t xml:space="preserve"> escalation</w:t>
            </w:r>
          </w:p>
        </w:tc>
      </w:tr>
      <w:tr>
        <w:trPr>
          <w:tblHeader w:val="false"/>
        </w:trPr>
        <w:tc>
          <w:tcPr>
            <w:tcMar>
              <w:top w:type="dxa" w:w="80"/>
              <w:left w:type="dxa" w:w="120"/>
              <w:bottom w:type="dxa" w:w="80"/>
              <w:right w:type="dxa" w:w="120"/>
            </w:tcMar>
          </w:tcPr>
          <w:p>
            <w:r>
              <w:rPr>
                <w:b w:val="false"/>
                <w:bCs w:val="false"/>
                <w:sz w:val="20"/>
                <w:szCs w:val="20"/>
              </w:rPr>
              <w:t xml:space="preserve">Total requested</w:t>
            </w:r>
          </w:p>
        </w:tc>
        <w:tc>
          <w:tcPr>
            <w:tcMar>
              <w:top w:type="dxa" w:w="80"/>
              <w:left w:type="dxa" w:w="120"/>
              <w:bottom w:type="dxa" w:w="80"/>
              <w:right w:type="dxa" w:w="120"/>
            </w:tcMar>
          </w:tcPr>
          <w:p/>
        </w:tc>
        <w:tc>
          <w:tcPr>
            <w:tcMar>
              <w:top w:type="dxa" w:w="80"/>
              <w:left w:type="dxa" w:w="120"/>
              <w:bottom w:type="dxa" w:w="80"/>
              <w:right w:type="dxa" w:w="120"/>
            </w:tcMar>
          </w:tcPr>
          <w:p>
            <w:r>
              <w:rPr>
                <w:b/>
                <w:bCs/>
                <w:color w:val="B4531A"/>
                <w:sz w:val="20"/>
                <w:szCs w:val="20"/>
              </w:rPr>
              <w:t xml:space="preserve">[$]</w:t>
            </w:r>
          </w:p>
        </w:tc>
        <w:tc>
          <w:tcPr>
            <w:tcMar>
              <w:top w:type="dxa" w:w="80"/>
              <w:left w:type="dxa" w:w="120"/>
              <w:bottom w:type="dxa" w:w="80"/>
              <w:right w:type="dxa" w:w="120"/>
            </w:tcMar>
          </w:tcPr>
          <w:p/>
        </w:tc>
      </w:tr>
    </w:tbl>
    <w:p>
      <w:pPr>
        <w:spacing w:after="120"/>
      </w:pPr>
      <w:r>
        <w:t xml:space="preserve"/>
      </w:r>
    </w:p>
    <w:p>
      <w:pPr>
        <w:spacing w:after="120"/>
      </w:pPr>
      <w:r>
        <w:rPr>
          <w:i/>
          <w:iCs/>
          <w:sz w:val="18"/>
          <w:szCs w:val="18"/>
        </w:rPr>
        <w:t xml:space="preserve">Tier assignment follows the adopted replacement criteria and the scores in Attachment A. Nothing is in the Critical tier on judgement alone.</w:t>
      </w:r>
    </w:p>
    <w:p>
      <w:pPr>
        <w:pStyle w:val="Heading1"/>
        <w:spacing w:after="120" w:before="260"/>
      </w:pPr>
      <w:r>
        <w:t xml:space="preserve">4. How this list was built</w:t>
      </w:r>
    </w:p>
    <w:tbl>
      <w:tblPr>
        <w:tblW w:type="pct" w:w="100%"/>
        <w:tblBorders>
          <w:top w:val="single" w:color="B4531A" w:sz="6"/>
          <w:left w:val="single" w:color="B4531A" w:sz="6"/>
          <w:bottom w:val="single" w:color="B4531A" w:sz="6"/>
          <w:right w:val="single" w:color="B4531A" w:sz="6"/>
          <w:insideH w:val="none" w:color="FFFFFF" w:sz="0"/>
          <w:insideV w:val="none" w:color="FFFFFF" w:sz="0"/>
        </w:tblBorders>
      </w:tblPr>
      <w:tblGrid>
        <w:gridCol w:w="100"/>
      </w:tblGrid>
      <w:tr>
        <w:tc>
          <w:tcPr>
            <w:shd w:fill="FDF6EC" w:color="FDF6EC" w:val="solid"/>
            <w:tcMar>
              <w:top w:type="dxa" w:w="120"/>
              <w:left w:type="dxa" w:w="160"/>
              <w:bottom w:type="dxa" w:w="120"/>
              <w:right w:type="dxa" w:w="160"/>
            </w:tcMar>
          </w:tcPr>
          <w:p>
            <w:pPr>
              <w:spacing w:after="80"/>
            </w:pPr>
            <w:r>
              <w:rPr>
                <w:b/>
                <w:bCs/>
                <w:sz w:val="18"/>
                <w:szCs w:val="18"/>
              </w:rPr>
              <w:t xml:space="preserve">Delete this box before circulating.</w:t>
            </w:r>
          </w:p>
          <w:p>
            <w:pPr>
              <w:spacing w:after="50"/>
            </w:pPr>
            <w:r>
              <w:rPr>
                <w:sz w:val="18"/>
                <w:szCs w:val="18"/>
              </w:rPr>
              <w:t xml:space="preserve">One paragraph, not a walkthrough of the model. The point is only to establish that the list was not assembled by preference. Draft text below — edit the bracketed parts and keep it short.</w:t>
            </w:r>
          </w:p>
        </w:tc>
      </w:tr>
    </w:tbl>
    <w:p>
      <w:pPr>
        <w:spacing w:after="120"/>
      </w:pPr>
      <w:r>
        <w:t xml:space="preserve"/>
      </w:r>
    </w:p>
    <w:p>
      <w:pPr>
        <w:spacing w:after="200"/>
      </w:pPr>
      <w:r>
        <w:t xml:space="preserve">Every unit in the fleet was scored against the criteria adopted in </w:t>
      </w:r>
      <w:r>
        <w:rPr>
          <w:b/>
          <w:bCs/>
          <w:color w:val="B4531A"/>
        </w:rPr>
        <w:t xml:space="preserve">[POLICY NAME, ADOPTED DATE]</w:t>
      </w:r>
      <w:r>
        <w:t xml:space="preserve">: age, usage, service severity, reliability history, repair cost against replacement cost, and technician-assessed condition. The criteria were applied to all </w:t>
      </w:r>
      <w:r>
        <w:rPr>
          <w:b/>
          <w:bCs/>
          <w:color w:val="B4531A"/>
        </w:rPr>
        <w:t xml:space="preserve">[N]</w:t>
      </w:r>
      <w:r>
        <w:t xml:space="preserve"> units, not only to the units in this request. The ranked result is attached in full. Units above the funding line in Attachment A are the units in this request, in that order, with </w:t>
      </w:r>
      <w:r>
        <w:rPr>
          <w:b/>
          <w:bCs/>
          <w:color w:val="B4531A"/>
        </w:rPr>
        <w:t xml:space="preserve">[N]</w:t>
      </w:r>
      <w:r>
        <w:t xml:space="preserve"> documented exceptions noted on the attachment and explained in section 5.</w:t>
      </w:r>
    </w:p>
    <w:p>
      <w:pPr>
        <w:pStyle w:val="Heading1"/>
        <w:spacing w:after="120" w:before="260"/>
      </w:pPr>
      <w:r>
        <w:t xml:space="preserve">5. Deferral answers</w:t>
      </w:r>
    </w:p>
    <w:p>
      <w:pPr>
        <w:spacing w:after="140"/>
      </w:pPr>
      <w:r>
        <w:t xml:space="preserve">Someone will ask whether it can wait one more year. There is a prepared answer for each unit, and the answers are not all the same.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shd w:fill="EDF2F5" w:color="EDF2F5" w:val="solid"/>
            <w:tcMar>
              <w:top w:type="dxa" w:w="80"/>
              <w:left w:type="dxa" w:w="120"/>
              <w:bottom w:type="dxa" w:w="80"/>
              <w:right w:type="dxa" w:w="120"/>
            </w:tcMar>
          </w:tcPr>
          <w:p>
            <w:r>
              <w:rPr>
                <w:b/>
                <w:bCs/>
                <w:sz w:val="20"/>
                <w:szCs w:val="20"/>
              </w:rPr>
              <w:t xml:space="preserve">Unit</w:t>
            </w:r>
          </w:p>
        </w:tc>
        <w:tc>
          <w:tcPr>
            <w:shd w:fill="EDF2F5" w:color="EDF2F5" w:val="solid"/>
            <w:tcMar>
              <w:top w:type="dxa" w:w="80"/>
              <w:left w:type="dxa" w:w="120"/>
              <w:bottom w:type="dxa" w:w="80"/>
              <w:right w:type="dxa" w:w="120"/>
            </w:tcMar>
          </w:tcPr>
          <w:p>
            <w:r>
              <w:rPr>
                <w:b/>
                <w:bCs/>
                <w:sz w:val="20"/>
                <w:szCs w:val="20"/>
              </w:rPr>
              <w:t xml:space="preserve">Can it wait one more year?</w:t>
            </w:r>
          </w:p>
        </w:tc>
        <w:tc>
          <w:tcPr>
            <w:shd w:fill="EDF2F5" w:color="EDF2F5" w:val="solid"/>
            <w:tcMar>
              <w:top w:type="dxa" w:w="80"/>
              <w:left w:type="dxa" w:w="120"/>
              <w:bottom w:type="dxa" w:w="80"/>
              <w:right w:type="dxa" w:w="120"/>
            </w:tcMar>
          </w:tcPr>
          <w:p>
            <w:r>
              <w:rPr>
                <w:b/>
                <w:bCs/>
                <w:sz w:val="20"/>
                <w:szCs w:val="20"/>
              </w:rPr>
              <w:t xml:space="preserve">Basis</w:t>
            </w:r>
          </w:p>
        </w:tc>
      </w:tr>
      <w:tr>
        <w:trPr>
          <w:tblHeader w:val="false"/>
        </w:trPr>
        <w:tc>
          <w:tcPr>
            <w:tcMar>
              <w:top w:type="dxa" w:w="80"/>
              <w:left w:type="dxa" w:w="120"/>
              <w:bottom w:type="dxa" w:w="80"/>
              <w:right w:type="dxa" w:w="120"/>
            </w:tcMar>
          </w:tcPr>
          <w:p>
            <w:r>
              <w:rPr>
                <w:b/>
                <w:bCs/>
                <w:color w:val="B4531A"/>
                <w:sz w:val="20"/>
                <w:szCs w:val="20"/>
              </w:rPr>
              <w:t xml:space="preserve">[UNIT]</w:t>
            </w:r>
          </w:p>
        </w:tc>
        <w:tc>
          <w:tcPr>
            <w:tcMar>
              <w:top w:type="dxa" w:w="80"/>
              <w:left w:type="dxa" w:w="120"/>
              <w:bottom w:type="dxa" w:w="80"/>
              <w:right w:type="dxa" w:w="120"/>
            </w:tcMar>
          </w:tcPr>
          <w:p>
            <w:r>
              <w:rPr>
                <w:b w:val="false"/>
                <w:bCs w:val="false"/>
                <w:sz w:val="20"/>
                <w:szCs w:val="20"/>
              </w:rPr>
              <w:t xml:space="preserve">Yes, at a cost of </w:t>
            </w:r>
            <w:r>
              <w:rPr>
                <w:b/>
                <w:bCs/>
                <w:color w:val="B4531A"/>
                <w:sz w:val="20"/>
                <w:szCs w:val="20"/>
              </w:rPr>
              <w:t xml:space="preserve">[$]</w:t>
            </w:r>
            <w:r>
              <w:rPr>
                <w:b w:val="false"/>
                <w:bCs w:val="false"/>
                <w:sz w:val="20"/>
                <w:szCs w:val="20"/>
              </w:rPr>
              <w:t xml:space="preserve"> — escalation plus projected repair</w:t>
            </w:r>
          </w:p>
        </w:tc>
        <w:tc>
          <w:tcPr>
            <w:tcMar>
              <w:top w:type="dxa" w:w="80"/>
              <w:left w:type="dxa" w:w="120"/>
              <w:bottom w:type="dxa" w:w="80"/>
              <w:right w:type="dxa" w:w="120"/>
            </w:tcMar>
          </w:tcPr>
          <w:p>
            <w:r>
              <w:rPr>
                <w:b/>
                <w:bCs/>
                <w:color w:val="B4531A"/>
                <w:sz w:val="20"/>
                <w:szCs w:val="20"/>
              </w:rPr>
              <w:t xml:space="preserve">[repair projection / escalation assumption]</w:t>
            </w:r>
          </w:p>
        </w:tc>
      </w:tr>
      <w:tr>
        <w:trPr>
          <w:tblHeader w:val="false"/>
        </w:trPr>
        <w:tc>
          <w:tcPr>
            <w:tcMar>
              <w:top w:type="dxa" w:w="80"/>
              <w:left w:type="dxa" w:w="120"/>
              <w:bottom w:type="dxa" w:w="80"/>
              <w:right w:type="dxa" w:w="120"/>
            </w:tcMar>
          </w:tcPr>
          <w:p>
            <w:r>
              <w:rPr>
                <w:b/>
                <w:bCs/>
                <w:color w:val="B4531A"/>
                <w:sz w:val="20"/>
                <w:szCs w:val="20"/>
              </w:rPr>
              <w:t xml:space="preserve">[UNIT]</w:t>
            </w:r>
          </w:p>
        </w:tc>
        <w:tc>
          <w:tcPr>
            <w:tcMar>
              <w:top w:type="dxa" w:w="80"/>
              <w:left w:type="dxa" w:w="120"/>
              <w:bottom w:type="dxa" w:w="80"/>
              <w:right w:type="dxa" w:w="120"/>
            </w:tcMar>
          </w:tcPr>
          <w:p>
            <w:r>
              <w:rPr>
                <w:b w:val="false"/>
                <w:bCs w:val="false"/>
                <w:sz w:val="20"/>
                <w:szCs w:val="20"/>
              </w:rPr>
              <w:t xml:space="preserve">Yes, at a cost of </w:t>
            </w:r>
            <w:r>
              <w:rPr>
                <w:b/>
                <w:bCs/>
                <w:color w:val="B4531A"/>
                <w:sz w:val="20"/>
                <w:szCs w:val="20"/>
              </w:rPr>
              <w:t xml:space="preserve">[$]</w:t>
            </w:r>
          </w:p>
        </w:tc>
        <w:tc>
          <w:tcPr>
            <w:tcMar>
              <w:top w:type="dxa" w:w="80"/>
              <w:left w:type="dxa" w:w="120"/>
              <w:bottom w:type="dxa" w:w="80"/>
              <w:right w:type="dxa" w:w="120"/>
            </w:tcMar>
          </w:tcPr>
          <w:p>
            <w:r>
              <w:rPr>
                <w:b/>
                <w:bCs/>
                <w:color w:val="B4531A"/>
                <w:sz w:val="20"/>
                <w:szCs w:val="20"/>
              </w:rPr>
              <w:t xml:space="preserve">[repair projection / escalation assumption]</w:t>
            </w:r>
          </w:p>
        </w:tc>
      </w:tr>
      <w:tr>
        <w:trPr>
          <w:tblHeader w:val="false"/>
        </w:trPr>
        <w:tc>
          <w:tcPr>
            <w:tcMar>
              <w:top w:type="dxa" w:w="80"/>
              <w:left w:type="dxa" w:w="120"/>
              <w:bottom w:type="dxa" w:w="80"/>
              <w:right w:type="dxa" w:w="120"/>
            </w:tcMar>
          </w:tcPr>
          <w:p>
            <w:r>
              <w:rPr>
                <w:b/>
                <w:bCs/>
                <w:color w:val="B4531A"/>
                <w:sz w:val="20"/>
                <w:szCs w:val="20"/>
              </w:rPr>
              <w:t xml:space="preserve">[UNIT]</w:t>
            </w:r>
          </w:p>
        </w:tc>
        <w:tc>
          <w:tcPr>
            <w:tcMar>
              <w:top w:type="dxa" w:w="80"/>
              <w:left w:type="dxa" w:w="120"/>
              <w:bottom w:type="dxa" w:w="80"/>
              <w:right w:type="dxa" w:w="120"/>
            </w:tcMar>
          </w:tcPr>
          <w:p>
            <w:r>
              <w:rPr>
                <w:b w:val="false"/>
                <w:bCs w:val="false"/>
                <w:sz w:val="20"/>
                <w:szCs w:val="20"/>
              </w:rPr>
              <w:t xml:space="preserve">No, because </w:t>
            </w:r>
            <w:r>
              <w:rPr>
                <w:b/>
                <w:bCs/>
                <w:color w:val="B4531A"/>
                <w:sz w:val="20"/>
                <w:szCs w:val="20"/>
              </w:rPr>
              <w:t xml:space="preserve">[safety defect / compliance deadline / service that stops]</w:t>
            </w:r>
          </w:p>
        </w:tc>
        <w:tc>
          <w:tcPr>
            <w:tcMar>
              <w:top w:type="dxa" w:w="80"/>
              <w:left w:type="dxa" w:w="120"/>
              <w:bottom w:type="dxa" w:w="80"/>
              <w:right w:type="dxa" w:w="120"/>
            </w:tcMar>
          </w:tcPr>
          <w:p>
            <w:r>
              <w:rPr>
                <w:b/>
                <w:bCs/>
                <w:color w:val="B4531A"/>
                <w:sz w:val="20"/>
                <w:szCs w:val="20"/>
              </w:rPr>
              <w:t xml:space="preserve">[inspection report / regulation / service plan]</w:t>
            </w:r>
          </w:p>
        </w:tc>
      </w:tr>
    </w:tbl>
    <w:p>
      <w:pPr>
        <w:spacing w:after="120"/>
      </w:pPr>
      <w:r>
        <w:t xml:space="preserve"/>
      </w:r>
    </w:p>
    <w:tbl>
      <w:tblPr>
        <w:tblW w:type="pct" w:w="100%"/>
        <w:tblBorders>
          <w:top w:val="single" w:color="B4531A" w:sz="6"/>
          <w:left w:val="single" w:color="B4531A" w:sz="6"/>
          <w:bottom w:val="single" w:color="B4531A" w:sz="6"/>
          <w:right w:val="single" w:color="B4531A" w:sz="6"/>
          <w:insideH w:val="none" w:color="FFFFFF" w:sz="0"/>
          <w:insideV w:val="none" w:color="FFFFFF" w:sz="0"/>
        </w:tblBorders>
      </w:tblPr>
      <w:tblGrid>
        <w:gridCol w:w="100"/>
      </w:tblGrid>
      <w:tr>
        <w:tc>
          <w:tcPr>
            <w:shd w:fill="FDF6EC" w:color="FDF6EC" w:val="solid"/>
            <w:tcMar>
              <w:top w:type="dxa" w:w="120"/>
              <w:left w:type="dxa" w:w="160"/>
              <w:bottom w:type="dxa" w:w="120"/>
              <w:right w:type="dxa" w:w="160"/>
            </w:tcMar>
          </w:tcPr>
          <w:p>
            <w:pPr>
              <w:spacing w:after="80"/>
            </w:pPr>
            <w:r>
              <w:rPr>
                <w:b/>
                <w:bCs/>
                <w:sz w:val="18"/>
                <w:szCs w:val="18"/>
              </w:rPr>
              <w:t xml:space="preserve">Delete this box before circulating.</w:t>
            </w:r>
          </w:p>
          <w:p>
            <w:pPr>
              <w:spacing w:after="50"/>
            </w:pPr>
            <w:r>
              <w:rPr>
                <w:sz w:val="18"/>
                <w:szCs w:val="18"/>
              </w:rPr>
              <w:t xml:space="preserve">A manager who says everything is critical is not believed about anything. A manager who concedes that three of five can wait is believed about the two that cannot.</w:t>
            </w:r>
          </w:p>
          <w:p>
            <w:pPr>
              <w:spacing w:after="50"/>
            </w:pPr>
            <w:r>
              <w:rPr>
                <w:sz w:val="18"/>
                <w:szCs w:val="18"/>
              </w:rPr>
              <w:t xml:space="preserve">Reserve "no" for units where it is true: a safety defect, a compliance deadline, or a service that stops.</w:t>
            </w:r>
          </w:p>
        </w:tc>
      </w:tr>
    </w:tbl>
    <w:p>
      <w:pPr>
        <w:spacing w:after="120"/>
      </w:pPr>
      <w:r>
        <w:t xml:space="preserve"/>
      </w:r>
    </w:p>
    <w:tbl>
      <w:tblPr>
        <w:tblW w:type="pct" w:w="100%"/>
        <w:tblBorders>
          <w:top w:val="single" w:color="B4531A" w:sz="6"/>
          <w:left w:val="single" w:color="B4531A" w:sz="6"/>
          <w:bottom w:val="single" w:color="B4531A" w:sz="6"/>
          <w:right w:val="single" w:color="B4531A" w:sz="6"/>
          <w:insideH w:val="none" w:color="FFFFFF" w:sz="0"/>
          <w:insideV w:val="none" w:color="FFFFFF" w:sz="0"/>
        </w:tblBorders>
      </w:tblPr>
      <w:tblGrid>
        <w:gridCol w:w="100"/>
      </w:tblGrid>
      <w:tr>
        <w:tc>
          <w:tcPr>
            <w:shd w:fill="FDF6EC" w:color="FDF6EC" w:val="solid"/>
            <w:tcMar>
              <w:top w:type="dxa" w:w="120"/>
              <w:left w:type="dxa" w:w="160"/>
              <w:bottom w:type="dxa" w:w="120"/>
              <w:right w:type="dxa" w:w="160"/>
            </w:tcMar>
          </w:tcPr>
          <w:p>
            <w:pPr>
              <w:spacing w:after="80"/>
            </w:pPr>
            <w:r>
              <w:rPr>
                <w:b/>
                <w:bCs/>
                <w:sz w:val="18"/>
                <w:szCs w:val="18"/>
              </w:rPr>
              <w:t xml:space="preserve">Delete this box before circulating.</w:t>
            </w:r>
          </w:p>
          <w:p>
            <w:pPr>
              <w:spacing w:after="50"/>
            </w:pPr>
            <w:r>
              <w:rPr>
                <w:sz w:val="18"/>
                <w:szCs w:val="18"/>
              </w:rPr>
              <w:t xml:space="preserve">What not to put in this document.</w:t>
            </w:r>
          </w:p>
          <w:p>
            <w:pPr>
              <w:spacing w:after="50"/>
            </w:pPr>
            <w:r>
              <w:rPr>
                <w:sz w:val="18"/>
                <w:szCs w:val="18"/>
              </w:rPr>
              <w:t xml:space="preserve">Do not claim new vehicles will cut maintenance spend by a percentage. Maintenance on the replaced unit drops; total fleet maintenance often does not move much, because the rest of the fleet keeps ageing. The follow-up question arrives a year later and cannot be answered favourably.</w:t>
            </w:r>
          </w:p>
          <w:p>
            <w:pPr>
              <w:spacing w:after="50"/>
            </w:pPr>
            <w:r>
              <w:rPr>
                <w:sz w:val="18"/>
                <w:szCs w:val="18"/>
              </w:rPr>
              <w:t xml:space="preserve">Do not project fuel savings you cannot measure per unit, and do not present a payback period built on a maintenance saving.</w:t>
            </w:r>
          </w:p>
          <w:p>
            <w:pPr>
              <w:spacing w:after="50"/>
            </w:pPr>
            <w:r>
              <w:rPr>
                <w:sz w:val="18"/>
                <w:szCs w:val="18"/>
              </w:rPr>
              <w:t xml:space="preserve">Do not lead with vehicle age, mileage, or a condition score. Those are supporting material, and they belong in Attachment A.</w:t>
            </w:r>
          </w:p>
          <w:p>
            <w:pPr>
              <w:spacing w:after="50"/>
            </w:pPr>
            <w:r>
              <w:rPr>
                <w:sz w:val="18"/>
                <w:szCs w:val="18"/>
              </w:rPr>
              <w:t xml:space="preserve">Promise what replacement actually delivers: availability, reduced unplanned downtime, predictable cost, and compliance. Those hold up on review.</w:t>
            </w:r>
          </w:p>
        </w:tc>
      </w:tr>
    </w:tbl>
    <w:p>
      <w:pPr>
        <w:pStyle w:val="Heading1"/>
        <w:spacing w:after="120" w:before="260"/>
      </w:pPr>
      <w:r>
        <w:t xml:space="preserve">Attachment A — ranked replacement list</w:t>
      </w:r>
    </w:p>
    <w:p>
      <w:pPr>
        <w:spacing w:after="140"/>
      </w:pPr>
      <w:r>
        <w:t xml:space="preserve">The full ranked list of all scored units, with the funding line marked, is attached. It is produced from the replacement scoring worksheet (Ranked list print sheet) using the criteria described in section 4.</w:t>
      </w:r>
    </w:p>
    <w:p>
      <w:pPr>
        <w:pStyle w:val="ListParagraph"/>
        <w:numPr>
          <w:ilvl w:val="0"/>
          <w:numId w:val="1"/>
        </w:numPr>
        <w:spacing w:after="60"/>
      </w:pPr>
      <w:r>
        <w:t xml:space="preserve">Attached as: [FILE OR EXHIBIT REFERENCE]</w:t>
      </w:r>
    </w:p>
    <w:p>
      <w:pPr>
        <w:pStyle w:val="ListParagraph"/>
        <w:numPr>
          <w:ilvl w:val="0"/>
          <w:numId w:val="1"/>
        </w:numPr>
        <w:spacing w:after="60"/>
      </w:pPr>
      <w:r>
        <w:t xml:space="preserve">Scoring date: [DATE]    Units scored: [N]    Units above the funding line: [N]</w:t>
      </w:r>
    </w:p>
    <w:p>
      <w:pPr>
        <w:pStyle w:val="ListParagraph"/>
        <w:numPr>
          <w:ilvl w:val="0"/>
          <w:numId w:val="1"/>
        </w:numPr>
        <w:spacing w:after="60"/>
      </w:pPr>
      <w:r>
        <w:t xml:space="preserve">Exceptions and overrides, with the reason for each, are noted in its final column.</w:t>
      </w:r>
    </w:p>
    <w:tbl>
      <w:tblPr>
        <w:tblW w:type="pct" w:w="100%"/>
        <w:tblBorders>
          <w:top w:val="single" w:color="B4531A" w:sz="6"/>
          <w:left w:val="single" w:color="B4531A" w:sz="6"/>
          <w:bottom w:val="single" w:color="B4531A" w:sz="6"/>
          <w:right w:val="single" w:color="B4531A" w:sz="6"/>
          <w:insideH w:val="none" w:color="FFFFFF" w:sz="0"/>
          <w:insideV w:val="none" w:color="FFFFFF" w:sz="0"/>
        </w:tblBorders>
      </w:tblPr>
      <w:tblGrid>
        <w:gridCol w:w="100"/>
      </w:tblGrid>
      <w:tr>
        <w:tc>
          <w:tcPr>
            <w:shd w:fill="FDF6EC" w:color="FDF6EC" w:val="solid"/>
            <w:tcMar>
              <w:top w:type="dxa" w:w="120"/>
              <w:left w:type="dxa" w:w="160"/>
              <w:bottom w:type="dxa" w:w="120"/>
              <w:right w:type="dxa" w:w="160"/>
            </w:tcMar>
          </w:tcPr>
          <w:p>
            <w:pPr>
              <w:spacing w:after="80"/>
            </w:pPr>
            <w:r>
              <w:rPr>
                <w:b/>
                <w:bCs/>
                <w:sz w:val="18"/>
                <w:szCs w:val="18"/>
              </w:rPr>
              <w:t xml:space="preserve">Delete this box before circulating.</w:t>
            </w:r>
          </w:p>
          <w:p>
            <w:pPr>
              <w:spacing w:after="50"/>
            </w:pPr>
            <w:r>
              <w:rPr>
                <w:sz w:val="18"/>
                <w:szCs w:val="18"/>
              </w:rPr>
              <w:t xml:space="preserve">Almost nobody reads the attachment. Its existence is the argument — attach it anyway, and refer to it by name during the presentation.</w:t>
            </w:r>
          </w:p>
        </w:tc>
      </w:tr>
    </w:tbl>
    <w:p>
      <w:pPr>
        <w:pStyle w:val="Heading1"/>
        <w:spacing w:after="120" w:before="260"/>
      </w:pPr>
      <w:r>
        <w:t xml:space="preserve">After the decision</w:t>
      </w:r>
    </w:p>
    <w:p>
      <w:pPr>
        <w:spacing w:after="140"/>
      </w:pPr>
      <w:r>
        <w:t xml:space="preserve">Completed after the vote, by the requester, and kept. Next year this is the first thing presented: what happened to the units that were deferred.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shd w:fill="EDF2F5" w:color="EDF2F5" w:val="solid"/>
            <w:tcMar>
              <w:top w:type="dxa" w:w="80"/>
              <w:left w:type="dxa" w:w="120"/>
              <w:bottom w:type="dxa" w:w="80"/>
              <w:right w:type="dxa" w:w="120"/>
            </w:tcMar>
          </w:tcPr>
          <w:p>
            <w:r>
              <w:rPr>
                <w:b/>
                <w:bCs/>
                <w:sz w:val="20"/>
                <w:szCs w:val="20"/>
              </w:rPr>
              <w:t xml:space="preserve">Unit</w:t>
            </w:r>
          </w:p>
        </w:tc>
        <w:tc>
          <w:tcPr>
            <w:shd w:fill="EDF2F5" w:color="EDF2F5" w:val="solid"/>
            <w:tcMar>
              <w:top w:type="dxa" w:w="80"/>
              <w:left w:type="dxa" w:w="120"/>
              <w:bottom w:type="dxa" w:w="80"/>
              <w:right w:type="dxa" w:w="120"/>
            </w:tcMar>
          </w:tcPr>
          <w:p>
            <w:r>
              <w:rPr>
                <w:b/>
                <w:bCs/>
                <w:sz w:val="20"/>
                <w:szCs w:val="20"/>
              </w:rPr>
              <w:t xml:space="preserve">Funded / deferred</w:t>
            </w:r>
          </w:p>
        </w:tc>
        <w:tc>
          <w:tcPr>
            <w:shd w:fill="EDF2F5" w:color="EDF2F5" w:val="solid"/>
            <w:tcMar>
              <w:top w:type="dxa" w:w="80"/>
              <w:left w:type="dxa" w:w="120"/>
              <w:bottom w:type="dxa" w:w="80"/>
              <w:right w:type="dxa" w:w="120"/>
            </w:tcMar>
          </w:tcPr>
          <w:p>
            <w:r>
              <w:rPr>
                <w:b/>
                <w:bCs/>
                <w:sz w:val="20"/>
                <w:szCs w:val="20"/>
              </w:rPr>
              <w:t xml:space="preserve">Stated reason</w:t>
            </w:r>
          </w:p>
        </w:tc>
        <w:tc>
          <w:tcPr>
            <w:shd w:fill="EDF2F5" w:color="EDF2F5" w:val="solid"/>
            <w:tcMar>
              <w:top w:type="dxa" w:w="80"/>
              <w:left w:type="dxa" w:w="120"/>
              <w:bottom w:type="dxa" w:w="80"/>
              <w:right w:type="dxa" w:w="120"/>
            </w:tcMar>
          </w:tcPr>
          <w:p>
            <w:r>
              <w:rPr>
                <w:b/>
                <w:bCs/>
                <w:sz w:val="20"/>
                <w:szCs w:val="20"/>
              </w:rPr>
              <w:t xml:space="preserve">Date</w:t>
            </w:r>
          </w:p>
        </w:tc>
      </w:tr>
      <w:tr>
        <w:trPr>
          <w:tblHeader w:val="false"/>
        </w:trPr>
        <w:tc>
          <w:tcPr>
            <w:tcMar>
              <w:top w:type="dxa" w:w="80"/>
              <w:left w:type="dxa" w:w="120"/>
              <w:bottom w:type="dxa" w:w="80"/>
              <w:right w:type="dxa" w:w="120"/>
            </w:tcMar>
          </w:tcPr>
          <w:p>
            <w:r>
              <w:rPr>
                <w:b/>
                <w:bCs/>
                <w:color w:val="B4531A"/>
                <w:sz w:val="20"/>
                <w:szCs w:val="20"/>
              </w:rPr>
              <w:t xml:space="preserve">[UNIT]</w:t>
            </w:r>
          </w:p>
        </w:tc>
        <w:tc>
          <w:tcPr>
            <w:tcMar>
              <w:top w:type="dxa" w:w="80"/>
              <w:left w:type="dxa" w:w="120"/>
              <w:bottom w:type="dxa" w:w="80"/>
              <w:right w:type="dxa" w:w="120"/>
            </w:tcMar>
          </w:tcPr>
          <w:p>
            <w:r>
              <w:rPr>
                <w:b/>
                <w:bCs/>
                <w:color w:val="B4531A"/>
                <w:sz w:val="20"/>
                <w:szCs w:val="20"/>
              </w:rPr>
              <w:t xml:space="preserve">[Funded / Deferred]</w:t>
            </w:r>
          </w:p>
        </w:tc>
        <w:tc>
          <w:tcPr>
            <w:tcMar>
              <w:top w:type="dxa" w:w="80"/>
              <w:left w:type="dxa" w:w="120"/>
              <w:bottom w:type="dxa" w:w="80"/>
              <w:right w:type="dxa" w:w="120"/>
            </w:tcMar>
          </w:tcPr>
          <w:p>
            <w:r>
              <w:rPr>
                <w:b/>
                <w:bCs/>
                <w:color w:val="B4531A"/>
                <w:sz w:val="20"/>
                <w:szCs w:val="20"/>
              </w:rPr>
              <w:t xml:space="preserve">[reason as stated in the meeting]</w:t>
            </w:r>
          </w:p>
        </w:tc>
        <w:tc>
          <w:tcPr>
            <w:tcMar>
              <w:top w:type="dxa" w:w="80"/>
              <w:left w:type="dxa" w:w="120"/>
              <w:bottom w:type="dxa" w:w="80"/>
              <w:right w:type="dxa" w:w="120"/>
            </w:tcMar>
          </w:tcPr>
          <w:p>
            <w:r>
              <w:rPr>
                <w:b/>
                <w:bCs/>
                <w:color w:val="B4531A"/>
                <w:sz w:val="20"/>
                <w:szCs w:val="20"/>
              </w:rPr>
              <w:t xml:space="preserve">[DATE]</w:t>
            </w:r>
          </w:p>
        </w:tc>
      </w:tr>
      <w:tr>
        <w:trPr>
          <w:tblHeader w:val="false"/>
        </w:trPr>
        <w:tc>
          <w:tcPr>
            <w:tcMar>
              <w:top w:type="dxa" w:w="80"/>
              <w:left w:type="dxa" w:w="120"/>
              <w:bottom w:type="dxa" w:w="80"/>
              <w:right w:type="dxa" w:w="120"/>
            </w:tcMar>
          </w:tcPr>
          <w:p>
            <w:r>
              <w:rPr>
                <w:b/>
                <w:bCs/>
                <w:color w:val="B4531A"/>
                <w:sz w:val="20"/>
                <w:szCs w:val="20"/>
              </w:rPr>
              <w:t xml:space="preserve">[UNIT]</w:t>
            </w:r>
          </w:p>
        </w:tc>
        <w:tc>
          <w:tcPr>
            <w:tcMar>
              <w:top w:type="dxa" w:w="80"/>
              <w:left w:type="dxa" w:w="120"/>
              <w:bottom w:type="dxa" w:w="80"/>
              <w:right w:type="dxa" w:w="120"/>
            </w:tcMar>
          </w:tcPr>
          <w:p>
            <w:r>
              <w:rPr>
                <w:b/>
                <w:bCs/>
                <w:color w:val="B4531A"/>
                <w:sz w:val="20"/>
                <w:szCs w:val="20"/>
              </w:rPr>
              <w:t xml:space="preserve">[Funded / Deferred]</w:t>
            </w:r>
          </w:p>
        </w:tc>
        <w:tc>
          <w:tcPr>
            <w:tcMar>
              <w:top w:type="dxa" w:w="80"/>
              <w:left w:type="dxa" w:w="120"/>
              <w:bottom w:type="dxa" w:w="80"/>
              <w:right w:type="dxa" w:w="120"/>
            </w:tcMar>
          </w:tcPr>
          <w:p>
            <w:r>
              <w:rPr>
                <w:b/>
                <w:bCs/>
                <w:color w:val="B4531A"/>
                <w:sz w:val="20"/>
                <w:szCs w:val="20"/>
              </w:rPr>
              <w:t xml:space="preserve">[reason as stated in the meeting]</w:t>
            </w:r>
          </w:p>
        </w:tc>
        <w:tc>
          <w:tcPr>
            <w:tcMar>
              <w:top w:type="dxa" w:w="80"/>
              <w:left w:type="dxa" w:w="120"/>
              <w:bottom w:type="dxa" w:w="80"/>
              <w:right w:type="dxa" w:w="120"/>
            </w:tcMar>
          </w:tcPr>
          <w:p>
            <w:r>
              <w:rPr>
                <w:b/>
                <w:bCs/>
                <w:color w:val="B4531A"/>
                <w:sz w:val="20"/>
                <w:szCs w:val="20"/>
              </w:rPr>
              <w:t xml:space="preserve">[DATE]</w:t>
            </w:r>
          </w:p>
        </w:tc>
      </w:tr>
      <w:tr>
        <w:trPr>
          <w:tblHeader w:val="false"/>
        </w:trPr>
        <w:tc>
          <w:tcPr>
            <w:tcMar>
              <w:top w:type="dxa" w:w="80"/>
              <w:left w:type="dxa" w:w="120"/>
              <w:bottom w:type="dxa" w:w="80"/>
              <w:right w:type="dxa" w:w="120"/>
            </w:tcMar>
          </w:tcPr>
          <w:p>
            <w:r>
              <w:rPr>
                <w:b/>
                <w:bCs/>
                <w:color w:val="B4531A"/>
                <w:sz w:val="20"/>
                <w:szCs w:val="20"/>
              </w:rPr>
              <w:t xml:space="preserve">[UNIT]</w:t>
            </w:r>
          </w:p>
        </w:tc>
        <w:tc>
          <w:tcPr>
            <w:tcMar>
              <w:top w:type="dxa" w:w="80"/>
              <w:left w:type="dxa" w:w="120"/>
              <w:bottom w:type="dxa" w:w="80"/>
              <w:right w:type="dxa" w:w="120"/>
            </w:tcMar>
          </w:tcPr>
          <w:p>
            <w:r>
              <w:rPr>
                <w:b/>
                <w:bCs/>
                <w:color w:val="B4531A"/>
                <w:sz w:val="20"/>
                <w:szCs w:val="20"/>
              </w:rPr>
              <w:t xml:space="preserve">[Funded / Deferred]</w:t>
            </w:r>
          </w:p>
        </w:tc>
        <w:tc>
          <w:tcPr>
            <w:tcMar>
              <w:top w:type="dxa" w:w="80"/>
              <w:left w:type="dxa" w:w="120"/>
              <w:bottom w:type="dxa" w:w="80"/>
              <w:right w:type="dxa" w:w="120"/>
            </w:tcMar>
          </w:tcPr>
          <w:p>
            <w:r>
              <w:rPr>
                <w:b/>
                <w:bCs/>
                <w:color w:val="B4531A"/>
                <w:sz w:val="20"/>
                <w:szCs w:val="20"/>
              </w:rPr>
              <w:t xml:space="preserve">[reason as stated in the meeting]</w:t>
            </w:r>
          </w:p>
        </w:tc>
        <w:tc>
          <w:tcPr>
            <w:tcMar>
              <w:top w:type="dxa" w:w="80"/>
              <w:left w:type="dxa" w:w="120"/>
              <w:bottom w:type="dxa" w:w="80"/>
              <w:right w:type="dxa" w:w="120"/>
            </w:tcMar>
          </w:tcPr>
          <w:p>
            <w:r>
              <w:rPr>
                <w:b/>
                <w:bCs/>
                <w:color w:val="B4531A"/>
                <w:sz w:val="20"/>
                <w:szCs w:val="20"/>
              </w:rPr>
              <w:t xml:space="preserve">[DATE]</w:t>
            </w:r>
          </w:p>
        </w:tc>
      </w:tr>
    </w:tbl>
    <w:p>
      <w:pPr>
        <w:spacing w:after="120"/>
      </w:pPr>
      <w:r>
        <w:t xml:space="preserve"/>
      </w:r>
    </w:p>
    <w:tbl>
      <w:tblPr>
        <w:tblW w:type="pct" w:w="100%"/>
        <w:tblBorders>
          <w:top w:val="single" w:color="B4531A" w:sz="6"/>
          <w:left w:val="single" w:color="B4531A" w:sz="6"/>
          <w:bottom w:val="single" w:color="B4531A" w:sz="6"/>
          <w:right w:val="single" w:color="B4531A" w:sz="6"/>
          <w:insideH w:val="none" w:color="FFFFFF" w:sz="0"/>
          <w:insideV w:val="none" w:color="FFFFFF" w:sz="0"/>
        </w:tblBorders>
      </w:tblPr>
      <w:tblGrid>
        <w:gridCol w:w="100"/>
      </w:tblGrid>
      <w:tr>
        <w:tc>
          <w:tcPr>
            <w:shd w:fill="FDF6EC" w:color="FDF6EC" w:val="solid"/>
            <w:tcMar>
              <w:top w:type="dxa" w:w="120"/>
              <w:left w:type="dxa" w:w="160"/>
              <w:bottom w:type="dxa" w:w="120"/>
              <w:right w:type="dxa" w:w="160"/>
            </w:tcMar>
          </w:tcPr>
          <w:p>
            <w:pPr>
              <w:spacing w:after="80"/>
            </w:pPr>
            <w:r>
              <w:rPr>
                <w:b/>
                <w:bCs/>
                <w:sz w:val="18"/>
                <w:szCs w:val="18"/>
              </w:rPr>
              <w:t xml:space="preserve">Delete this box before circulating.</w:t>
            </w:r>
          </w:p>
          <w:p>
            <w:pPr>
              <w:spacing w:after="50"/>
            </w:pPr>
            <w:r>
              <w:rPr>
                <w:sz w:val="18"/>
                <w:szCs w:val="18"/>
              </w:rPr>
              <w:t xml:space="preserve">For each deferred unit, record through the year: repair spend incurred, unplanned downtime events, and the purchase price at the next quote. Done consistently, this record is what changes the conversation over a few cycles.</w:t>
            </w:r>
          </w:p>
        </w:tc>
      </w:tr>
    </w:tbl>
    <w:p>
      <w:pPr>
        <w:spacing w:after="20" w:before="240"/>
      </w:pPr>
      <w:r>
        <w:rPr>
          <w:b/>
          <w:bCs/>
          <w:sz w:val="20"/>
          <w:szCs w:val="20"/>
        </w:rPr>
        <w:t xml:space="preserve">Prepared by (name, title, date)</w:t>
      </w:r>
    </w:p>
    <w:p>
      <w:pPr>
        <w:pBdr>
          <w:bottom w:val="single" w:color="23414B" w:sz="6"/>
        </w:pBdr>
        <w:spacing w:after="160"/>
      </w:pPr>
      <w:r>
        <w:t xml:space="preserve"/>
      </w:r>
    </w:p>
    <w:p>
      <w:pPr>
        <w:spacing w:after="20" w:before="240"/>
      </w:pPr>
      <w:r>
        <w:rPr>
          <w:b/>
          <w:bCs/>
          <w:sz w:val="20"/>
          <w:szCs w:val="20"/>
        </w:rPr>
        <w:t xml:space="preserve">Reviewed by (finance, date)</w:t>
      </w:r>
    </w:p>
    <w:p>
      <w:pPr>
        <w:pBdr>
          <w:bottom w:val="single" w:color="23414B" w:sz="6"/>
        </w:pBdr>
        <w:spacing w:after="160"/>
      </w:pPr>
      <w:r>
        <w:t xml:space="preserve"/>
      </w:r>
    </w:p>
    <w:p>
      <w:pPr>
        <w:sectPr>
          <w:pgSz w:w="11906" w:h="16838" w:orient="portrait"/>
          <w:pgMar w:top="1000" w:right="1000" w:bottom="1000" w:left="1000" w:header="708" w:footer="708" w:gutter="0"/>
          <w:pgNumType/>
          <w:docGrid w:linePitch="360"/>
        </w:sectPr>
      </w:pPr>
    </w:p>
    <w:p>
      <w:pPr>
        <w:pStyle w:val="Heading1"/>
        <w:spacing w:after="120" w:before="260"/>
      </w:pPr>
      <w:r>
        <w:t xml:space="preserve">About this template</w:t>
      </w:r>
    </w:p>
    <w:p>
      <w:pPr>
        <w:spacing w:after="140"/>
      </w:pPr>
      <w:r>
        <w:t xml:space="preserve">This template accompanies the guide "Justifying fleet replacement to a council or board". It contains no figures of its own: every number in it is one you supply from your own records, with the source stated beside it.</w:t>
      </w:r>
    </w:p>
    <w:p>
      <w:pPr>
        <w:spacing w:after="140"/>
      </w:pPr>
      <w:r>
        <w:t xml:space="preserve">Guide: </w:t>
      </w:r>
      <w:r>
        <w:t xml:space="preserve">https://fleetdesk.axionfleetai.com/guides/council-budget-justification/</w:t>
      </w:r>
    </w:p>
    <w:p>
      <w:pPr>
        <w:spacing w:after="140"/>
      </w:pPr>
      <w:r>
        <w:t xml:space="preserve">Template version 1.0 — reviewed 2026-07-01</w:t>
      </w:r>
    </w:p>
    <w:p>
      <w:pPr>
        <w:pStyle w:val="Heading2"/>
        <w:spacing w:after="120" w:before="260"/>
      </w:pPr>
      <w:r>
        <w:t xml:space="preserve">Sources</w:t>
      </w:r>
    </w:p>
    <w:p>
      <w:pPr>
        <w:pStyle w:val="ListParagraph"/>
        <w:numPr>
          <w:ilvl w:val="0"/>
          <w:numId w:val="1"/>
        </w:numPr>
        <w:spacing w:after="80"/>
      </w:pPr>
      <w:r>
        <w:rPr>
          <w:sz w:val="20"/>
          <w:szCs w:val="20"/>
        </w:rPr>
        <w:t xml:space="preserve">GFOA — Best practices in capital planning and budgeting</w:t>
      </w:r>
      <w:r>
        <w:rPr>
          <w:i/>
          <w:iCs/>
          <w:sz w:val="20"/>
          <w:szCs w:val="20"/>
        </w:rPr>
        <w:t xml:space="preserve"> — primary source</w:t>
      </w:r>
      <w:r>
        <w:rPr>
          <w:color w:val="6B7280"/>
          <w:sz w:val="16"/>
          <w:szCs w:val="16"/>
        </w:rPr>
        <w:t xml:space="preserve">  https://www.gfoa.org/best-practices</w:t>
      </w:r>
    </w:p>
    <w:p>
      <w:pPr>
        <w:pStyle w:val="ListParagraph"/>
        <w:numPr>
          <w:ilvl w:val="0"/>
          <w:numId w:val="1"/>
        </w:numPr>
        <w:spacing w:after="80"/>
      </w:pPr>
      <w:r>
        <w:rPr>
          <w:sz w:val="20"/>
          <w:szCs w:val="20"/>
        </w:rPr>
        <w:t xml:space="preserve">APWA — Certified Public Fleet Professional program</w:t>
      </w:r>
      <w:r>
        <w:rPr>
          <w:i/>
          <w:iCs/>
          <w:sz w:val="20"/>
          <w:szCs w:val="20"/>
        </w:rPr>
        <w:t xml:space="preserve"> — primary source</w:t>
      </w:r>
      <w:r>
        <w:rPr>
          <w:color w:val="6B7280"/>
          <w:sz w:val="16"/>
          <w:szCs w:val="16"/>
        </w:rPr>
        <w:t xml:space="preserve">  https://www.apwa.org/education-careers/certification/certified-public-fleet-professional-cpfp/</w:t>
      </w:r>
    </w:p>
    <w:p>
      <w:pPr>
        <w:pStyle w:val="ListParagraph"/>
        <w:numPr>
          <w:ilvl w:val="0"/>
          <w:numId w:val="1"/>
        </w:numPr>
        <w:spacing w:after="80"/>
      </w:pPr>
      <w:r>
        <w:rPr>
          <w:sz w:val="20"/>
          <w:szCs w:val="20"/>
        </w:rPr>
        <w:t xml:space="preserve">Automotive Fleet — How to calculate optimal replacement cycles</w:t>
      </w:r>
      <w:r>
        <w:rPr>
          <w:i/>
          <w:iCs/>
          <w:sz w:val="20"/>
          <w:szCs w:val="20"/>
        </w:rPr>
        <w:t xml:space="preserve"> — trade press</w:t>
      </w:r>
      <w:r>
        <w:rPr>
          <w:color w:val="6B7280"/>
          <w:sz w:val="16"/>
          <w:szCs w:val="16"/>
        </w:rPr>
        <w:t xml:space="preserve">  https://www.automotive-fleet.com/155875/how-to-calculate-optimal-replacement-cycles</w:t>
      </w:r>
    </w:p>
    <w:p>
      <w:pPr>
        <w:spacing w:after="120"/>
      </w:pPr>
      <w:r>
        <w:rPr>
          <w:i/>
          <w:iCs/>
          <w:sz w:val="18"/>
          <w:szCs w:val="18"/>
        </w:rPr>
        <w:t xml:space="preserve">Method: the structure of this document follows the guide, not a standard. The four numbers, the three tiers and the per-unit deferral answer are editorial recommendations drawn from the practice described in the sources above.</w:t>
      </w:r>
    </w:p>
    <w:p>
      <w:pPr>
        <w:pBdr>
          <w:top w:val="single" w:color="D0D7DC" w:sz="4"/>
        </w:pBdr>
        <w:spacing w:after="120" w:before="420"/>
      </w:pPr>
      <w:r>
        <w:t xml:space="preserve"/>
      </w:r>
    </w:p>
    <w:p>
      <w:pPr>
        <w:spacing w:after="40"/>
      </w:pPr>
      <w:r>
        <w:rPr>
          <w:color w:val="6B7280"/>
          <w:sz w:val="16"/>
          <w:szCs w:val="16"/>
        </w:rPr>
        <w:t xml:space="preserve">Published by Fleet Desk — https://fleetdesk.axionfleetai.com</w:t>
      </w:r>
    </w:p>
    <w:p>
      <w:pPr>
        <w:spacing w:after="40"/>
      </w:pPr>
      <w:r>
        <w:rPr>
          <w:color w:val="6B7280"/>
          <w:sz w:val="16"/>
          <w:szCs w:val="16"/>
        </w:rPr>
        <w:t xml:space="preserve">Free to use, adapt and distribute, including commercially. No attribution required.</w:t>
      </w:r>
    </w:p>
    <w:p>
      <w:pPr>
        <w:spacing w:after="40"/>
      </w:pPr>
      <w:r>
        <w:rPr>
          <w:color w:val="6B7280"/>
          <w:sz w:val="16"/>
          <w:szCs w:val="16"/>
        </w:rPr>
        <w:t xml:space="preserve">Sponsored by Axion (axionfleetai.com), which had no editorial control over this template.</w:t>
      </w:r>
    </w:p>
    <w:sectPr>
      <w:pgSz w:w="11906" w:h="16838" w:orient="portrait"/>
      <w:pgMar w:top="1000" w:right="1000" w:bottom="10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3414B"/>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20" w:before="280"/>
    </w:pPr>
    <w:rPr>
      <w:rFonts w:ascii="Calibri" w:cs="Calibri" w:eastAsia="Calibri" w:hAnsi="Calibri"/>
      <w:b/>
      <w:bCs/>
      <w:color w:val="23414B"/>
      <w:sz w:val="30"/>
      <w:szCs w:val="30"/>
    </w:rPr>
  </w:style>
  <w:style w:type="paragraph" w:styleId="Heading2">
    <w:name w:val="Heading 2"/>
    <w:basedOn w:val="Normal"/>
    <w:next w:val="Normal"/>
    <w:qFormat/>
    <w:pPr>
      <w:spacing w:after="100" w:before="220"/>
    </w:pPr>
    <w:rPr>
      <w:rFonts w:ascii="Calibri" w:cs="Calibri" w:eastAsia="Calibri" w:hAnsi="Calibri"/>
      <w:b/>
      <w:bCs/>
      <w:color w:val="23414B"/>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Replacement request package</dc:title>
  <dc:creator>Fleet Desk</dc:creator>
  <dc:description>Replacement request package — version 1.0</dc:description>
  <cp:lastModifiedBy>Un-named</cp:lastModifiedBy>
  <cp:revision>1</cp:revision>
  <dcterms:created xsi:type="dcterms:W3CDTF">2026-08-02T15:27:31.973Z</dcterms:created>
  <dcterms:modified xsi:type="dcterms:W3CDTF">2026-08-02T15:27:31.973Z</dcterms:modified>
</cp:coreProperties>
</file>

<file path=docProps/custom.xml><?xml version="1.0" encoding="utf-8"?>
<Properties xmlns="http://schemas.openxmlformats.org/officeDocument/2006/custom-properties" xmlns:vt="http://schemas.openxmlformats.org/officeDocument/2006/docPropsVTypes"/>
</file>